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media/image1.jpeg" ContentType="image/jpeg"/>
  <Override PartName="/word/media/image2.jpeg" ContentType="image/jpeg"/>
  <Override PartName="/word/styles.xml" ContentType="application/vnd.openxmlformats-officedocument.wordprocessingml.styles+xml"/>
  <Override PartName="/word/footer5.xml" ContentType="application/vnd.openxmlformats-officedocument.wordprocessingml.foot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Override PartName="/_rels/.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ackground w:color="FFFFFF"/>
  <w:body>
    <w:p>
      <w:pPr>
        <w:pStyle w:val="Normale"/>
        <w:suppressAutoHyphens w:val="true"/>
        <w:bidi w:val="0"/>
        <w:jc w:val="left"/>
        <w:rPr>
          <w:rFonts w:ascii="Segoe UI" w:hAnsi="Segoe UI" w:cs="Segoe UI"/>
          <w:b/>
          <w:caps/>
          <w:sz w:val="32"/>
          <w:szCs w:val="32"/>
          <w:u w:val="single"/>
          <w:lang w:eastAsia="it-IT"/>
        </w:rPr>
      </w:pPr>
      <w:r>
        <w:rPr>
          <w:rFonts w:cs="Segoe UI" w:ascii="Segoe UI" w:hAnsi="Segoe UI"/>
          <w:b/>
          <w:caps/>
          <w:sz w:val="32"/>
          <w:szCs w:val="32"/>
          <w:u w:val="single"/>
          <w:lang w:eastAsia="it-IT"/>
        </w:rPr>
        <w:drawing>
          <wp:anchor behindDoc="1" distT="0" distB="0" distL="0" distR="0" simplePos="0" locked="0" layoutInCell="1" allowOverlap="1" relativeHeight="4">
            <wp:simplePos x="0" y="0"/>
            <wp:positionH relativeFrom="column">
              <wp:posOffset>2665095</wp:posOffset>
            </wp:positionH>
            <wp:positionV relativeFrom="paragraph">
              <wp:posOffset>5715</wp:posOffset>
            </wp:positionV>
            <wp:extent cx="791210" cy="1147445"/>
            <wp:effectExtent l="0" t="0" r="0" b="0"/>
            <wp:wrapNone/>
            <wp:docPr id="1" name="Immagin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6" descr=""/>
                    <pic:cNvPicPr>
                      <a:picLocks noChangeAspect="1" noChangeArrowheads="1"/>
                    </pic:cNvPicPr>
                  </pic:nvPicPr>
                  <pic:blipFill>
                    <a:blip r:embed="rId2"/>
                    <a:srcRect l="-435" t="-306" r="-435" b="-306"/>
                    <a:stretch>
                      <a:fillRect/>
                    </a:stretch>
                  </pic:blipFill>
                  <pic:spPr bwMode="auto">
                    <a:xfrm>
                      <a:off x="0" y="0"/>
                      <a:ext cx="791210" cy="1147445"/>
                    </a:xfrm>
                    <a:prstGeom prst="rect">
                      <a:avLst/>
                    </a:prstGeom>
                  </pic:spPr>
                </pic:pic>
              </a:graphicData>
            </a:graphic>
          </wp:anchor>
        </w:drawing>
      </w:r>
    </w:p>
    <w:p>
      <w:pPr>
        <w:pStyle w:val="Normal"/>
        <w:ind w:hanging="9" w:left="1560" w:right="0"/>
        <w:jc w:val="left"/>
        <w:rPr>
          <w:rFonts w:ascii="Segoe UI" w:hAnsi="Segoe UI" w:cs="Segoe UI"/>
          <w:b/>
          <w:caps/>
          <w:sz w:val="32"/>
          <w:szCs w:val="32"/>
          <w:u w:val="single"/>
          <w:lang w:eastAsia="it-IT"/>
        </w:rPr>
      </w:pPr>
      <w:r>
        <w:rPr>
          <w:rFonts w:cs="Segoe UI" w:ascii="Segoe UI" w:hAnsi="Segoe UI"/>
          <w:b/>
          <w:caps/>
          <w:sz w:val="32"/>
          <w:szCs w:val="32"/>
          <w:u w:val="single"/>
          <w:lang w:eastAsia="it-IT"/>
        </w:rPr>
      </w:r>
    </w:p>
    <w:p>
      <w:pPr>
        <w:pStyle w:val="Heading1"/>
        <w:numPr>
          <w:ilvl w:val="0"/>
          <w:numId w:val="1"/>
        </w:numPr>
        <w:ind w:hanging="9" w:left="1560" w:right="0"/>
        <w:jc w:val="left"/>
        <w:rPr>
          <w:rFonts w:ascii="Segoe UI" w:hAnsi="Segoe UI" w:cs="Segoe UI"/>
          <w:b/>
          <w:caps/>
          <w:sz w:val="32"/>
          <w:szCs w:val="32"/>
          <w:u w:val="single"/>
          <w:lang w:eastAsia="it-IT"/>
        </w:rPr>
      </w:pPr>
      <w:r>
        <w:rPr>
          <w:rFonts w:cs="Segoe UI" w:ascii="Segoe UI" w:hAnsi="Segoe UI"/>
          <w:b/>
          <w:caps/>
          <w:sz w:val="32"/>
          <w:szCs w:val="32"/>
          <w:u w:val="single"/>
          <w:lang w:eastAsia="it-IT"/>
        </w:rPr>
      </w:r>
    </w:p>
    <w:p>
      <w:pPr>
        <w:pStyle w:val="BodyText"/>
        <w:jc w:val="center"/>
        <w:rPr/>
      </w:pPr>
      <w:bookmarkStart w:id="0" w:name="__RefHeading___Toc4714_3683703472"/>
      <w:bookmarkEnd w:id="0"/>
      <w:r>
        <w:rPr>
          <w:rFonts w:cs="Segoe UI" w:ascii="Segoe UI" w:hAnsi="Segoe UI"/>
          <w:b w:val="false"/>
          <w:bCs w:val="false"/>
          <w:sz w:val="40"/>
          <w:szCs w:val="40"/>
        </w:rPr>
        <w:t>Città di</w:t>
      </w:r>
      <w:r>
        <w:rPr>
          <w:rFonts w:cs="Segoe UI" w:ascii="Segoe UI" w:hAnsi="Segoe UI"/>
          <w:b/>
          <w:sz w:val="40"/>
          <w:szCs w:val="40"/>
        </w:rPr>
        <w:t xml:space="preserve"> Pioltello</w:t>
      </w:r>
    </w:p>
    <w:p>
      <w:pPr>
        <w:pStyle w:val="Normal"/>
        <w:widowControl/>
        <w:numPr>
          <w:ilvl w:val="0"/>
          <w:numId w:val="0"/>
        </w:numPr>
        <w:suppressAutoHyphens w:val="true"/>
        <w:overflowPunct w:val="false"/>
        <w:bidi w:val="0"/>
        <w:ind w:hanging="0" w:left="0" w:right="0"/>
        <w:jc w:val="center"/>
        <w:rPr>
          <w:rFonts w:ascii="Segoe UI" w:hAnsi="Segoe UI" w:cs="Segoe UI"/>
          <w:i/>
          <w:i/>
          <w:iCs/>
          <w:sz w:val="18"/>
          <w:szCs w:val="18"/>
        </w:rPr>
      </w:pPr>
      <w:r>
        <w:rPr>
          <w:rFonts w:cs="Segoe UI" w:ascii="Segoe UI" w:hAnsi="Segoe UI"/>
          <w:i/>
          <w:iCs/>
          <w:sz w:val="18"/>
          <w:szCs w:val="18"/>
        </w:rPr>
        <w:t>20096 - Via Carlo Cattaneo, 1</w:t>
      </w:r>
    </w:p>
    <w:p>
      <w:pPr>
        <w:pStyle w:val="Normal"/>
        <w:widowControl/>
        <w:numPr>
          <w:ilvl w:val="0"/>
          <w:numId w:val="0"/>
        </w:numPr>
        <w:suppressAutoHyphens w:val="true"/>
        <w:overflowPunct w:val="false"/>
        <w:bidi w:val="0"/>
        <w:ind w:hanging="0" w:left="0" w:right="0"/>
        <w:jc w:val="center"/>
        <w:rPr>
          <w:rFonts w:ascii="Segoe UI" w:hAnsi="Segoe UI" w:cs="Segoe UI"/>
          <w:i/>
          <w:i/>
          <w:iCs/>
          <w:sz w:val="18"/>
          <w:szCs w:val="18"/>
        </w:rPr>
      </w:pPr>
      <w:r>
        <w:rPr>
          <w:rFonts w:cs="Segoe UI" w:ascii="Segoe UI" w:hAnsi="Segoe UI"/>
          <w:i/>
          <w:iCs/>
          <w:sz w:val="18"/>
          <w:szCs w:val="18"/>
        </w:rPr>
        <w:t>C.F. 83501410159  -  P. IVA 00870010154</w:t>
      </w:r>
    </w:p>
    <w:p>
      <w:pPr>
        <w:pStyle w:val="Normal"/>
        <w:widowControl/>
        <w:numPr>
          <w:ilvl w:val="0"/>
          <w:numId w:val="0"/>
        </w:numPr>
        <w:suppressAutoHyphens w:val="true"/>
        <w:overflowPunct w:val="false"/>
        <w:bidi w:val="0"/>
        <w:ind w:hanging="0" w:left="0" w:right="0"/>
        <w:jc w:val="center"/>
        <w:rPr>
          <w:rFonts w:ascii="Segoe UI" w:hAnsi="Segoe UI" w:cs="Segoe UI"/>
          <w:i/>
          <w:i/>
          <w:iCs/>
          <w:sz w:val="18"/>
          <w:szCs w:val="18"/>
        </w:rPr>
      </w:pPr>
      <w:r>
        <w:rPr>
          <w:rFonts w:cs="Segoe UI" w:ascii="Segoe UI" w:hAnsi="Segoe UI"/>
          <w:i/>
          <w:iCs/>
          <w:sz w:val="18"/>
          <w:szCs w:val="18"/>
        </w:rPr>
        <w:t>Numero Unico +39 0292366.1 - PEC protocollo@cert.comune.pioltello.mi.it</w:t>
      </w:r>
    </w:p>
    <w:p>
      <w:pPr>
        <w:pStyle w:val="Normal"/>
        <w:widowControl/>
        <w:pBdr>
          <w:bottom w:val="single" w:sz="2" w:space="1" w:color="808080"/>
        </w:pBdr>
        <w:suppressAutoHyphens w:val="true"/>
        <w:overflowPunct w:val="false"/>
        <w:bidi w:val="0"/>
        <w:ind w:hanging="0" w:left="0" w:right="0"/>
        <w:jc w:val="center"/>
        <w:rPr>
          <w:rFonts w:ascii="Segoe UI" w:hAnsi="Segoe UI" w:cs="Segoe UI"/>
          <w:sz w:val="8"/>
          <w:szCs w:val="8"/>
        </w:rPr>
      </w:pPr>
      <w:r>
        <w:rPr>
          <w:rFonts w:cs="Segoe UI" w:ascii="Segoe UI" w:hAnsi="Segoe UI"/>
          <w:sz w:val="8"/>
          <w:szCs w:val="8"/>
        </w:rPr>
      </w:r>
    </w:p>
    <w:p>
      <w:pPr>
        <w:pStyle w:val="Header"/>
        <w:pBdr>
          <w:top w:val="single" w:sz="4" w:space="3" w:color="000000"/>
        </w:pBdr>
        <w:tabs>
          <w:tab w:val="clear" w:pos="9638"/>
          <w:tab w:val="center" w:pos="4819" w:leader="none"/>
          <w:tab w:val="right" w:pos="9639" w:leader="none"/>
        </w:tabs>
        <w:jc w:val="center"/>
        <w:rPr/>
      </w:pPr>
      <w:r>
        <w:rPr>
          <w:rFonts w:cs="Segoe UI" w:ascii="Segoe UI" w:hAnsi="Segoe UI"/>
          <w:b/>
          <w:bCs/>
          <w:i/>
          <w:iCs/>
          <w:smallCaps/>
        </w:rPr>
        <w:t xml:space="preserve">Settore </w:t>
      </w:r>
      <w:r>
        <w:rPr>
          <w:rFonts w:eastAsia="Times New Roman" w:cs="Segoe UI" w:ascii="Segoe UI" w:hAnsi="Segoe UI"/>
          <w:b/>
          <w:bCs/>
          <w:i/>
          <w:iCs/>
          <w:smallCaps/>
          <w:color w:val="auto"/>
          <w:kern w:val="2"/>
          <w:sz w:val="20"/>
          <w:szCs w:val="20"/>
          <w:lang w:val="it-IT" w:eastAsia="zh-CN" w:bidi="ar-SA"/>
        </w:rPr>
        <w:t>LAVORI PUBBLICI</w:t>
      </w:r>
    </w:p>
    <w:p>
      <w:pPr>
        <w:pStyle w:val="BodyText"/>
        <w:overflowPunct w:val="false"/>
        <w:spacing w:lineRule="atLeast" w:line="200" w:before="0" w:after="0"/>
        <w:ind w:hanging="0" w:left="116"/>
        <w:rPr>
          <w:rFonts w:ascii="Segoe UI" w:hAnsi="Segoe UI" w:cs="Segoe UI"/>
          <w:sz w:val="24"/>
          <w:szCs w:val="24"/>
          <w:lang w:val="x-none" w:eastAsia="x-none"/>
        </w:rPr>
      </w:pPr>
      <w:r>
        <w:rPr>
          <w:rFonts w:cs="Segoe UI" w:ascii="Segoe UI" w:hAnsi="Segoe UI"/>
          <w:sz w:val="24"/>
          <w:szCs w:val="24"/>
          <w:lang w:val="x-none" w:eastAsia="x-none"/>
        </w:rPr>
      </w:r>
    </w:p>
    <w:p>
      <w:pPr>
        <w:pStyle w:val="BodyText"/>
        <w:overflowPunct w:val="false"/>
        <w:spacing w:lineRule="atLeast" w:line="200" w:before="0" w:after="0"/>
        <w:ind w:hanging="0" w:left="116"/>
        <w:rPr>
          <w:rFonts w:ascii="Segoe UI" w:hAnsi="Segoe UI" w:cs="Segoe UI"/>
          <w:sz w:val="24"/>
          <w:szCs w:val="24"/>
          <w:lang w:val="x-none" w:eastAsia="x-none"/>
        </w:rPr>
      </w:pPr>
      <w:r>
        <w:rPr>
          <w:sz w:val="24"/>
          <w:szCs w:val="24"/>
        </w:rPr>
        <w:t xml:space="preserve"> </w:t>
      </w:r>
      <w:r/>
      <w:r>
        <w:rPr>
          <w:sz w:val="24"/>
          <w:szCs w:val="24"/>
        </w:rPr>
        <mc:AlternateContent>
          <mc:Choice Requires="wps">
            <w:drawing>
              <wp:inline distT="0" distB="0" distL="0" distR="0">
                <wp:extent cx="6002020" cy="3420110"/>
                <wp:effectExtent l="0" t="0" r="0" b="0"/>
                <wp:docPr id="2" name="Forma1"/>
                <a:graphic xmlns:a="http://schemas.openxmlformats.org/drawingml/2006/main">
                  <a:graphicData uri="http://schemas.microsoft.com/office/word/2010/wordprocessingShape">
                    <wps:wsp>
                      <wps:cNvSpPr/>
                      <wps:spPr>
                        <a:xfrm>
                          <a:off x="0" y="0"/>
                          <a:ext cx="6001920" cy="3420000"/>
                        </a:xfrm>
                        <a:prstGeom prst="rect">
                          <a:avLst/>
                        </a:prstGeom>
                        <a:solidFill>
                          <a:srgbClr val="ffffff"/>
                        </a:solidFill>
                        <a:ln w="10080">
                          <a:solidFill>
                            <a:srgbClr val="000000"/>
                          </a:solidFill>
                          <a:miter/>
                        </a:ln>
                      </wps:spPr>
                      <wps:style>
                        <a:lnRef idx="0"/>
                        <a:fillRef idx="0"/>
                        <a:effectRef idx="0"/>
                        <a:fontRef idx="minor"/>
                      </wps:style>
                      <wps:txbx>
                        <w:txbxContent>
                          <w:p>
                            <w:pPr>
                              <w:pStyle w:val="TableParagraph"/>
                              <w:overflowPunct w:val="false"/>
                              <w:spacing w:before="314" w:after="0"/>
                              <w:jc w:val="center"/>
                              <w:rPr>
                                <w:rFonts w:ascii="Calibri" w:hAnsi="Calibri" w:cs="Calibri"/>
                                <w:b/>
                                <w:bCs/>
                                <w:spacing w:val="-1"/>
                                <w:sz w:val="40"/>
                                <w:szCs w:val="40"/>
                              </w:rPr>
                            </w:pPr>
                            <w:r>
                              <w:rPr>
                                <w:rFonts w:cs="Calibri" w:ascii="Calibri" w:hAnsi="Calibri"/>
                                <w:b/>
                                <w:bCs/>
                                <w:color w:val="000000"/>
                                <w:spacing w:val="-1"/>
                                <w:sz w:val="40"/>
                                <w:szCs w:val="4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stroked="f" o:allowincell="f" style="position:absolute;margin-left:0pt;margin-top:-72.25pt;width:451.95pt;height:144.45pt;mso-wrap-style:none;v-text-anchor:middle;mso-position-vertical:center" type="_x0000_t75">
                                  <v:imagedata r:id="rId3" o:detectmouseclick="t"/>
                                  <v:stroke color="#3465a4" joinstyle="round" endcap="flat"/>
                                  <w10:wrap type="none"/>
                                </v:shape>
                              </w:pict>
                            </w:r>
                          </w:p>
                          <w:p>
                            <w:pPr>
                              <w:pStyle w:val="BodyText"/>
                              <w:tabs>
                                <w:tab w:val="clear" w:pos="720"/>
                                <w:tab w:val="left" w:pos="9214" w:leader="none"/>
                              </w:tabs>
                              <w:overflowPunct w:val="false"/>
                              <w:spacing w:lineRule="exact" w:line="439" w:before="27" w:after="0"/>
                              <w:ind w:hanging="0" w:left="284" w:right="221"/>
                              <w:jc w:val="center"/>
                              <w:rPr>
                                <w:rFonts w:ascii="Segoe UI" w:hAnsi="Segoe UI" w:cs="Segoe UI"/>
                                <w:sz w:val="36"/>
                                <w:szCs w:val="36"/>
                              </w:rPr>
                            </w:pPr>
                            <w:r>
                              <w:rPr>
                                <w:rFonts w:cs="Segoe UI" w:ascii="Segoe UI" w:hAnsi="Segoe UI"/>
                                <w:color w:val="000000"/>
                                <w:sz w:val="36"/>
                                <w:szCs w:val="36"/>
                              </w:rPr>
                              <w:t>ACCORDO QUADRO CON UNICO OPERATORE ECONOMICO, AI SENSI DELL'ART. 59 COMMA 3 DEL D.LGS. 36/2023, AVENTE AD OGGETTO IL SERVIZIO DI MANUTENZIONE DEL VERDE PUBBLICO.</w:t>
                            </w:r>
                          </w:p>
                        </w:txbxContent>
                      </wps:txbx>
                      <wps:bodyPr lIns="0" rIns="0" tIns="0" bIns="0" anchor="t">
                        <a:noAutofit/>
                      </wps:bodyPr>
                    </wps:wsp>
                  </a:graphicData>
                </a:graphic>
              </wp:inline>
            </w:drawing>
          </mc:Choice>
          <mc:Fallback>
            <w:pict>
              <v:rect id="shape_0" ID="Forma1" path="m0,0l-2147483645,0l-2147483645,-2147483646l0,-2147483646xe" fillcolor="white" stroked="t" o:allowincell="f" style="position:absolute;margin-left:0pt;margin-top:-269.35pt;width:472.55pt;height:269.25pt;mso-wrap-style:square;v-text-anchor:top;mso-position-vertical:top">
                <v:fill o:detectmouseclick="t" type="solid" color2="black"/>
                <v:stroke color="black" weight="10080" joinstyle="miter" endcap="flat"/>
                <v:textbox>
                  <w:txbxContent>
                    <w:p>
                      <w:pPr>
                        <w:pStyle w:val="TableParagraph"/>
                        <w:overflowPunct w:val="false"/>
                        <w:spacing w:before="314" w:after="0"/>
                        <w:jc w:val="center"/>
                        <w:rPr>
                          <w:rFonts w:ascii="Calibri" w:hAnsi="Calibri" w:cs="Calibri"/>
                          <w:b/>
                          <w:bCs/>
                          <w:spacing w:val="-1"/>
                          <w:sz w:val="40"/>
                          <w:szCs w:val="40"/>
                        </w:rPr>
                      </w:pPr>
                      <w:r>
                        <w:rPr>
                          <w:rFonts w:cs="Calibri" w:ascii="Calibri" w:hAnsi="Calibri"/>
                          <w:b/>
                          <w:bCs/>
                          <w:color w:val="000000"/>
                          <w:spacing w:val="-1"/>
                          <w:sz w:val="40"/>
                          <w:szCs w:val="40"/>
                        </w:rPr>
                        <w:pict>
                          <v:shape id="shape_0" stroked="f" o:allowincell="f" style="position:absolute;margin-left:0pt;margin-top:-72.25pt;width:451.95pt;height:144.45pt;mso-wrap-style:none;v-text-anchor:middle;mso-position-vertical:center" type="_x0000_t75">
                            <v:imagedata r:id="rId4" o:detectmouseclick="t"/>
                            <v:stroke color="#3465a4" joinstyle="round" endcap="flat"/>
                            <w10:wrap type="none"/>
                          </v:shape>
                        </w:pict>
                      </w:r>
                    </w:p>
                    <w:p>
                      <w:pPr>
                        <w:pStyle w:val="BodyText"/>
                        <w:tabs>
                          <w:tab w:val="clear" w:pos="720"/>
                          <w:tab w:val="left" w:pos="9214" w:leader="none"/>
                        </w:tabs>
                        <w:overflowPunct w:val="false"/>
                        <w:spacing w:lineRule="exact" w:line="439" w:before="27" w:after="0"/>
                        <w:ind w:hanging="0" w:left="284" w:right="221"/>
                        <w:jc w:val="center"/>
                        <w:rPr>
                          <w:rFonts w:ascii="Segoe UI" w:hAnsi="Segoe UI" w:cs="Segoe UI"/>
                          <w:sz w:val="36"/>
                          <w:szCs w:val="36"/>
                        </w:rPr>
                      </w:pPr>
                      <w:r>
                        <w:rPr>
                          <w:rFonts w:cs="Segoe UI" w:ascii="Segoe UI" w:hAnsi="Segoe UI"/>
                          <w:color w:val="000000"/>
                          <w:sz w:val="36"/>
                          <w:szCs w:val="36"/>
                        </w:rPr>
                        <w:t>ACCORDO QUADRO CON UNICO OPERATORE ECONOMICO, AI SENSI DELL'ART. 59 COMMA 3 DEL D.LGS. 36/2023, AVENTE AD OGGETTO IL SERVIZIO DI MANUTENZIONE DEL VERDE PUBBLICO.</w:t>
                      </w:r>
                    </w:p>
                  </w:txbxContent>
                </v:textbox>
                <w10:wrap type="none"/>
              </v:rect>
            </w:pict>
          </mc:Fallback>
        </mc:AlternateContent>
      </w:r>
    </w:p>
    <w:p>
      <w:pPr>
        <w:pStyle w:val="BodyText"/>
        <w:overflowPunct w:val="false"/>
        <w:spacing w:lineRule="atLeast" w:line="200" w:before="0" w:after="0"/>
        <w:ind w:hanging="0" w:left="116"/>
        <w:rPr>
          <w:rFonts w:ascii="Segoe UI" w:hAnsi="Segoe UI" w:cs="Segoe UI"/>
          <w:sz w:val="24"/>
          <w:szCs w:val="24"/>
          <w:lang w:val="x-none" w:eastAsia="x-none"/>
        </w:rPr>
      </w:pPr>
      <w:r>
        <w:rPr>
          <w:rFonts w:cs="Segoe UI" w:ascii="Segoe UI" w:hAnsi="Segoe UI"/>
          <w:sz w:val="24"/>
          <w:szCs w:val="24"/>
          <w:lang w:val="x-none" w:eastAsia="x-none"/>
        </w:rPr>
      </w:r>
    </w:p>
    <w:p>
      <w:pPr>
        <w:pStyle w:val="BodyText"/>
        <w:overflowPunct w:val="false"/>
        <w:spacing w:lineRule="atLeast" w:line="200" w:before="0" w:after="0"/>
        <w:ind w:hanging="0" w:left="116"/>
        <w:rPr>
          <w:rFonts w:ascii="Segoe UI" w:hAnsi="Segoe UI" w:cs="Segoe UI"/>
          <w:sz w:val="24"/>
          <w:szCs w:val="24"/>
          <w:lang w:val="x-none" w:eastAsia="x-none"/>
        </w:rPr>
      </w:pPr>
      <w:r>
        <w:rPr>
          <w:rFonts w:cs="Segoe UI" w:ascii="Segoe UI" w:hAnsi="Segoe UI"/>
          <w:sz w:val="24"/>
          <w:szCs w:val="24"/>
          <w:lang w:val="x-none" w:eastAsia="x-none"/>
        </w:rPr>
      </w:r>
    </w:p>
    <w:p>
      <w:pPr>
        <w:pStyle w:val="BodyText"/>
        <w:overflowPunct w:val="false"/>
        <w:spacing w:before="0" w:after="0"/>
        <w:ind w:hanging="0" w:left="0"/>
        <w:rPr>
          <w:rFonts w:ascii="Segoe UI" w:hAnsi="Segoe UI" w:cs="Segoe UI"/>
          <w:sz w:val="24"/>
          <w:szCs w:val="24"/>
          <w:lang w:val="x-none" w:eastAsia="x-none"/>
        </w:rPr>
      </w:pPr>
      <w:r>
        <w:rPr>
          <w:rFonts w:cs="Segoe UI" w:ascii="Segoe UI" w:hAnsi="Segoe UI"/>
          <w:sz w:val="24"/>
          <w:szCs w:val="24"/>
          <w:lang w:val="x-none" w:eastAsia="x-none"/>
        </w:rPr>
      </w:r>
    </w:p>
    <w:p>
      <w:pPr>
        <w:pStyle w:val="BodyText"/>
        <w:overflowPunct w:val="false"/>
        <w:spacing w:lineRule="exact" w:line="439" w:before="27" w:after="0"/>
        <w:ind w:hanging="0" w:left="284" w:right="282"/>
        <w:jc w:val="center"/>
        <w:rPr/>
      </w:pPr>
      <w:r>
        <w:rPr>
          <w:rFonts w:cs="Segoe UI" w:ascii="Segoe UI" w:hAnsi="Segoe UI"/>
          <w:b/>
          <w:bCs/>
          <w:sz w:val="44"/>
          <w:szCs w:val="44"/>
        </w:rPr>
        <w:t>CAPITOLATO SPECIALE D’APPALTO</w:t>
      </w:r>
    </w:p>
    <w:p>
      <w:pPr>
        <w:pStyle w:val="BodyText"/>
        <w:overflowPunct w:val="false"/>
        <w:spacing w:lineRule="exact" w:line="439" w:before="27" w:after="0"/>
        <w:ind w:hanging="0" w:left="1881" w:right="1869"/>
        <w:jc w:val="center"/>
        <w:rPr>
          <w:rFonts w:ascii="Segoe UI" w:hAnsi="Segoe UI" w:cs="Segoe UI"/>
          <w:b/>
          <w:bCs/>
          <w:sz w:val="44"/>
          <w:szCs w:val="44"/>
        </w:rPr>
      </w:pPr>
      <w:r>
        <w:rPr>
          <w:rFonts w:cs="Segoe UI" w:ascii="Segoe UI" w:hAnsi="Segoe UI"/>
          <w:b/>
          <w:bCs/>
          <w:sz w:val="44"/>
          <w:szCs w:val="44"/>
        </w:rPr>
      </w:r>
    </w:p>
    <w:p>
      <w:pPr>
        <w:pStyle w:val="BodyText"/>
        <w:overflowPunct w:val="false"/>
        <w:spacing w:before="0" w:after="0"/>
        <w:ind w:hanging="0" w:left="1881" w:right="1869"/>
        <w:jc w:val="center"/>
        <w:rPr/>
      </w:pPr>
      <w:r>
        <w:rPr>
          <w:rFonts w:cs="Segoe UI" w:ascii="Segoe UI" w:hAnsi="Segoe UI"/>
          <w:sz w:val="44"/>
          <w:szCs w:val="44"/>
        </w:rPr>
        <w:t>PARTE 3</w:t>
      </w:r>
    </w:p>
    <w:p>
      <w:pPr>
        <w:pStyle w:val="BodyText"/>
        <w:overflowPunct w:val="false"/>
        <w:spacing w:before="0" w:after="0"/>
        <w:ind w:hanging="0" w:left="-709" w:right="-710"/>
        <w:jc w:val="center"/>
        <w:rPr/>
      </w:pPr>
      <w:r>
        <w:rPr>
          <w:rFonts w:cs="Segoe UI" w:ascii="Segoe UI" w:hAnsi="Segoe UI"/>
          <w:b/>
          <w:bCs/>
          <w:color w:val="FF860D"/>
          <w:sz w:val="44"/>
          <w:szCs w:val="44"/>
        </w:rPr>
        <w:t>LAVORAZIONI-MODALITÀ DI ESECUZIONE-PENALI</w:t>
      </w:r>
    </w:p>
    <w:p>
      <w:pPr>
        <w:pStyle w:val="BodyText"/>
        <w:overflowPunct w:val="false"/>
        <w:spacing w:lineRule="exact" w:line="439" w:before="0" w:after="0"/>
        <w:ind w:hanging="0" w:left="1881" w:right="1869"/>
        <w:jc w:val="center"/>
        <w:rPr>
          <w:rFonts w:ascii="Segoe UI" w:hAnsi="Segoe UI" w:cs="Segoe UI"/>
          <w:sz w:val="24"/>
          <w:szCs w:val="24"/>
          <w:highlight w:val="yellow"/>
        </w:rPr>
      </w:pPr>
      <w:r>
        <w:rPr>
          <w:rFonts w:cs="Segoe UI" w:ascii="Segoe UI" w:hAnsi="Segoe UI"/>
          <w:sz w:val="24"/>
          <w:szCs w:val="24"/>
          <w:highlight w:val="yellow"/>
        </w:rPr>
      </w:r>
    </w:p>
    <w:p>
      <w:pPr>
        <w:pStyle w:val="Normal"/>
        <w:jc w:val="center"/>
        <w:rPr/>
      </w:pPr>
      <w:r>
        <w:rPr>
          <w:rFonts w:cs="Segoe UI" w:ascii="Segoe UI" w:hAnsi="Segoe UI"/>
        </w:rPr>
        <w:t>Il Responsabile di Progetto</w:t>
      </w:r>
    </w:p>
    <w:p>
      <w:pPr>
        <w:pStyle w:val="Normal"/>
        <w:jc w:val="center"/>
        <w:rPr>
          <w:rFonts w:ascii="Segoe UI" w:hAnsi="Segoe UI" w:cs="Segoe UI"/>
          <w:b/>
          <w:bCs/>
        </w:rPr>
      </w:pPr>
      <w:r>
        <w:rPr>
          <w:rFonts w:cs="Segoe UI" w:ascii="Segoe UI" w:hAnsi="Segoe UI"/>
          <w:b/>
          <w:bCs/>
        </w:rPr>
        <w:t>Arch. Niccolò Anelli</w:t>
      </w:r>
    </w:p>
    <w:p>
      <w:pPr>
        <w:sectPr>
          <w:footerReference w:type="default" r:id="rId5"/>
          <w:type w:val="nextPage"/>
          <w:pgSz w:w="11906" w:h="16838"/>
          <w:pgMar w:left="1134" w:right="1134" w:gutter="0" w:header="0" w:top="1417" w:footer="737" w:bottom="1287"/>
          <w:pgNumType w:fmt="decimal"/>
          <w:formProt w:val="false"/>
          <w:textDirection w:val="lrTb"/>
          <w:docGrid w:type="default" w:linePitch="360" w:charSpace="0"/>
        </w:sectPr>
        <w:pStyle w:val="BodyText"/>
        <w:overflowPunct w:val="false"/>
        <w:spacing w:lineRule="atLeast" w:line="20" w:before="0" w:after="0"/>
        <w:ind w:hanging="0" w:left="0"/>
        <w:jc w:val="center"/>
        <w:rPr/>
      </w:pPr>
      <w:r>
        <w:rPr>
          <w:rFonts w:cs="Segoe UI" w:ascii="Segoe UI" w:hAnsi="Segoe UI"/>
          <w:b/>
          <w:sz w:val="24"/>
          <w:szCs w:val="24"/>
          <w:lang w:eastAsia="x-none"/>
        </w:rPr>
        <w:t xml:space="preserve">Data: </w:t>
      </w:r>
      <w:r>
        <w:rPr>
          <w:rFonts w:cs="Segoe UI" w:ascii="Segoe UI" w:hAnsi="Segoe UI"/>
          <w:b/>
          <w:sz w:val="24"/>
          <w:szCs w:val="24"/>
          <w:lang w:eastAsia="x-none"/>
        </w:rPr>
        <w:t>dicembre</w:t>
      </w:r>
      <w:r>
        <w:rPr>
          <w:rFonts w:cs="Segoe UI" w:ascii="Segoe UI" w:hAnsi="Segoe UI"/>
          <w:b/>
          <w:sz w:val="24"/>
          <w:szCs w:val="24"/>
          <w:lang w:val="x-none" w:eastAsia="x-none"/>
        </w:rPr>
        <w:t xml:space="preserve"> 2023</w:t>
      </w:r>
    </w:p>
    <w:p>
      <w:pPr>
        <w:pStyle w:val="Normal"/>
        <w:spacing w:lineRule="auto" w:line="360"/>
        <w:ind w:hanging="0" w:right="23"/>
        <w:jc w:val="center"/>
        <w:rPr>
          <w:sz w:val="20"/>
          <w:szCs w:val="20"/>
        </w:rPr>
      </w:pPr>
      <w:r>
        <w:rPr>
          <w:rFonts w:cs="Segoe UI" w:ascii="Segoe UI" w:hAnsi="Segoe UI"/>
          <w:b/>
          <w:bCs/>
          <w:sz w:val="20"/>
          <w:szCs w:val="20"/>
        </w:rPr>
        <w:t xml:space="preserve">SOMMARIO </w:t>
      </w:r>
    </w:p>
    <w:p>
      <w:pPr>
        <w:pStyle w:val="Normal"/>
        <w:spacing w:lineRule="auto" w:line="360"/>
        <w:ind w:hanging="0" w:left="142" w:right="23"/>
        <w:jc w:val="center"/>
        <w:rPr>
          <w:rFonts w:ascii="Segoe UI" w:hAnsi="Segoe UI" w:cs="Segoe UI"/>
          <w:sz w:val="20"/>
          <w:szCs w:val="20"/>
          <w:highlight w:val="yellow"/>
          <w:u w:val="single"/>
        </w:rPr>
      </w:pPr>
      <w:r>
        <w:rPr>
          <w:rFonts w:cs="Segoe UI" w:ascii="Segoe UI" w:hAnsi="Segoe UI"/>
          <w:sz w:val="20"/>
          <w:szCs w:val="20"/>
          <w:highlight w:val="yellow"/>
          <w:u w:val="single"/>
        </w:rPr>
      </w:r>
    </w:p>
    <w:sdt>
      <w:sdtPr>
        <w:docPartObj>
          <w:docPartGallery w:val="Table of Contents"/>
          <w:docPartUnique w:val="true"/>
        </w:docPartObj>
      </w:sdtPr>
      <w:sdtContent>
        <w:p>
          <w:pPr>
            <w:pStyle w:val="TOC1"/>
            <w:rPr/>
          </w:pPr>
          <w:r>
            <w:fldChar w:fldCharType="begin"/>
          </w:r>
          <w:r>
            <w:rPr>
              <w:webHidden/>
              <w:rStyle w:val="Saltoaindice"/>
              <w:vanish w:val="false"/>
            </w:rPr>
            <w:instrText xml:space="preserve"> TOC \z \o "1-1" \u \h</w:instrText>
          </w:r>
          <w:r>
            <w:rPr>
              <w:webHidden/>
              <w:rStyle w:val="Saltoaindice"/>
              <w:vanish w:val="false"/>
            </w:rPr>
            <w:fldChar w:fldCharType="separate"/>
          </w:r>
          <w:hyperlink w:anchor="__RefHeading___Toc5919_3683703472">
            <w:r>
              <w:rPr>
                <w:webHidden/>
                <w:rStyle w:val="Saltoaindice"/>
                <w:vanish w:val="false"/>
              </w:rPr>
              <w:t>Art. 1. Premesse e oggetto dell’appalto</w:t>
              <w:tab/>
              <w:t>3</w:t>
            </w:r>
          </w:hyperlink>
        </w:p>
        <w:p>
          <w:pPr>
            <w:pStyle w:val="TOC1"/>
            <w:rPr/>
          </w:pPr>
          <w:hyperlink w:anchor="__RefHeading___Toc5921_3683703472">
            <w:r>
              <w:rPr>
                <w:webHidden/>
                <w:rStyle w:val="Saltoaindice"/>
                <w:vanish w:val="false"/>
              </w:rPr>
              <w:t>Art. 2. Condizioni dell’appalto</w:t>
              <w:tab/>
              <w:t>3</w:t>
            </w:r>
          </w:hyperlink>
        </w:p>
        <w:p>
          <w:pPr>
            <w:pStyle w:val="TOC1"/>
            <w:rPr/>
          </w:pPr>
          <w:hyperlink w:anchor="__RefHeading___Toc5923_3683703472">
            <w:r>
              <w:rPr>
                <w:webHidden/>
                <w:rStyle w:val="Saltoaindice"/>
                <w:vanish w:val="false"/>
              </w:rPr>
              <w:t>Art. 3. Lavorazioni che compongono il servizio di manutenzione del Verde</w:t>
              <w:tab/>
              <w:t>5</w:t>
            </w:r>
          </w:hyperlink>
        </w:p>
        <w:p>
          <w:pPr>
            <w:pStyle w:val="TOC1"/>
            <w:rPr/>
          </w:pPr>
          <w:hyperlink w:anchor="__RefHeading___Toc5925_3683703472">
            <w:r>
              <w:rPr>
                <w:webHidden/>
                <w:rStyle w:val="Saltoaindice"/>
                <w:vanish w:val="false"/>
              </w:rPr>
              <w:t>Art. 4. Penalità</w:t>
              <w:tab/>
              <w:t>26</w:t>
            </w:r>
          </w:hyperlink>
          <w:r>
            <w:rPr>
              <w:rStyle w:val="Saltoaindice"/>
              <w:vanish w:val="false"/>
            </w:rPr>
            <w:fldChar w:fldCharType="end"/>
          </w:r>
        </w:p>
      </w:sdtContent>
    </w:sdt>
    <w:p>
      <w:pPr>
        <w:pStyle w:val="Normal"/>
        <w:overflowPunct w:val="false"/>
        <w:spacing w:lineRule="auto" w:line="360" w:before="7" w:after="0"/>
        <w:rPr>
          <w:rFonts w:ascii="Segoe UI" w:hAnsi="Segoe UI" w:cs="Segoe UI"/>
          <w:sz w:val="20"/>
          <w:szCs w:val="20"/>
          <w:lang w:val="x-none" w:eastAsia="x-none"/>
        </w:rPr>
      </w:pPr>
      <w:r>
        <w:rPr>
          <w:rFonts w:cs="Segoe UI" w:ascii="Segoe UI" w:hAnsi="Segoe UI"/>
          <w:sz w:val="20"/>
          <w:szCs w:val="20"/>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Normal"/>
        <w:overflowPunct w:val="false"/>
        <w:spacing w:before="7" w:after="0"/>
        <w:rPr>
          <w:rFonts w:ascii="Segoe UI" w:hAnsi="Segoe UI" w:cs="Segoe UI"/>
          <w:lang w:val="x-none" w:eastAsia="x-none"/>
        </w:rPr>
      </w:pPr>
      <w:r>
        <w:rPr>
          <w:rFonts w:cs="Segoe UI" w:ascii="Segoe UI" w:hAnsi="Segoe UI"/>
          <w:lang w:val="x-none" w:eastAsia="x-none"/>
        </w:rPr>
      </w:r>
    </w:p>
    <w:p>
      <w:pPr>
        <w:sectPr>
          <w:footerReference w:type="default" r:id="rId6"/>
          <w:footerReference w:type="first" r:id="rId7"/>
          <w:type w:val="nextPage"/>
          <w:pgSz w:w="11906" w:h="16838"/>
          <w:pgMar w:left="1134" w:right="1134" w:gutter="0" w:header="0" w:top="1134" w:footer="1134" w:bottom="1417"/>
          <w:pgNumType w:fmt="decimal"/>
          <w:formProt w:val="false"/>
          <w:textDirection w:val="lrTb"/>
          <w:docGrid w:type="default" w:linePitch="312" w:charSpace="0"/>
        </w:sectPr>
        <w:pStyle w:val="Normal"/>
        <w:overflowPunct w:val="false"/>
        <w:spacing w:before="7" w:after="0"/>
        <w:rPr>
          <w:rFonts w:ascii="Segoe UI" w:hAnsi="Segoe UI" w:cs="Segoe UI"/>
          <w:lang w:val="x-none" w:eastAsia="x-none"/>
        </w:rPr>
      </w:pPr>
      <w:r>
        <w:rPr>
          <w:rFonts w:cs="Segoe UI" w:ascii="Segoe UI" w:hAnsi="Segoe UI"/>
          <w:lang w:val="x-none" w:eastAsia="x-none"/>
        </w:rPr>
      </w:r>
    </w:p>
    <w:p>
      <w:pPr>
        <w:pStyle w:val="Articolo"/>
        <w:numPr>
          <w:ilvl w:val="0"/>
          <w:numId w:val="2"/>
        </w:numPr>
        <w:ind w:hanging="340" w:left="340"/>
        <w:jc w:val="center"/>
        <w:outlineLvl w:val="0"/>
        <w:rPr/>
      </w:pPr>
      <w:bookmarkStart w:id="1" w:name="__RefHeading___Toc5919_3683703472"/>
      <w:bookmarkStart w:id="2" w:name="_Toc148986373"/>
      <w:bookmarkEnd w:id="1"/>
      <w:r>
        <w:rPr>
          <w:rFonts w:cs="Segoe UI" w:ascii="Segoe UI" w:hAnsi="Segoe UI"/>
          <w:b/>
          <w:bCs/>
          <w:w w:val="105"/>
          <w:sz w:val="24"/>
          <w:szCs w:val="24"/>
        </w:rPr>
        <w:t>Premesse e oggetto dell’appalto</w:t>
      </w:r>
      <w:bookmarkEnd w:id="2"/>
    </w:p>
    <w:p>
      <w:pPr>
        <w:pStyle w:val="BodyText"/>
        <w:numPr>
          <w:ilvl w:val="1"/>
          <w:numId w:val="2"/>
        </w:numPr>
        <w:jc w:val="both"/>
        <w:rPr/>
      </w:pPr>
      <w:r>
        <w:rPr>
          <w:rFonts w:cs="Segoe UI" w:ascii="Segoe UI" w:hAnsi="Segoe UI"/>
        </w:rPr>
        <w:t xml:space="preserve">Il servizio ha per oggetto l’esecuzione di tutte le lavorazioni, prestazioni e forniture necessarie per la manutenzione delle aree a verde di proprietà o pertinenza del Committente, elencate negli allegati  </w:t>
      </w:r>
      <w:r>
        <w:rPr>
          <w:rFonts w:eastAsia="Arial" w:cs="Segoe UI" w:ascii="Segoe UI" w:hAnsi="Segoe UI"/>
        </w:rPr>
        <w:t>A1-A2-A3-A4-A5-A6.</w:t>
      </w:r>
    </w:p>
    <w:p>
      <w:pPr>
        <w:pStyle w:val="BodyText"/>
        <w:numPr>
          <w:ilvl w:val="1"/>
          <w:numId w:val="2"/>
        </w:numPr>
        <w:jc w:val="both"/>
        <w:rPr/>
      </w:pPr>
      <w:r>
        <w:rPr>
          <w:rFonts w:eastAsia="Arial" w:cs="Segoe UI" w:ascii="Segoe UI" w:hAnsi="Segoe UI"/>
        </w:rPr>
        <w:t>Il presente documento è integrante gli altri due (parte 1 e parte 2) che compongono il Capitolato Speciale d’Appalto nella sua interezza e</w:t>
      </w:r>
      <w:r>
        <w:rPr>
          <w:rFonts w:cs="Segoe UI" w:ascii="Segoe UI" w:hAnsi="Segoe UI"/>
        </w:rPr>
        <w:t xml:space="preserve"> vuole essere una guida avente carattere di inquadramento riassuntivo gli interventi, le lavorazioni e le modalità di esecuzione che l'Appaltatore dovrà effettuare. Esso contiene anche il capitolo penali.</w:t>
      </w:r>
    </w:p>
    <w:p>
      <w:pPr>
        <w:pStyle w:val="BodyText"/>
        <w:numPr>
          <w:ilvl w:val="1"/>
          <w:numId w:val="2"/>
        </w:numPr>
        <w:jc w:val="both"/>
        <w:rPr/>
      </w:pPr>
      <w:r>
        <w:rPr>
          <w:rFonts w:cs="Segoe UI" w:ascii="Segoe UI" w:hAnsi="Segoe UI"/>
        </w:rPr>
        <w:t>Costituiscono oggetto dell’appalto tutte le aree a verde di proprietà o pertinenza del Committente:</w:t>
      </w:r>
    </w:p>
    <w:p>
      <w:pPr>
        <w:pStyle w:val="BodyText"/>
        <w:numPr>
          <w:ilvl w:val="2"/>
          <w:numId w:val="2"/>
        </w:numPr>
        <w:jc w:val="both"/>
        <w:rPr/>
      </w:pPr>
      <w:r>
        <w:rPr>
          <w:rFonts w:cs="Segoe UI" w:ascii="Segoe UI" w:hAnsi="Segoe UI"/>
        </w:rPr>
        <w:t>i parchi</w:t>
      </w:r>
    </w:p>
    <w:p>
      <w:pPr>
        <w:pStyle w:val="BodyText"/>
        <w:numPr>
          <w:ilvl w:val="2"/>
          <w:numId w:val="2"/>
        </w:numPr>
        <w:jc w:val="both"/>
        <w:rPr/>
      </w:pPr>
      <w:r>
        <w:rPr>
          <w:rFonts w:cs="Segoe UI" w:ascii="Segoe UI" w:hAnsi="Segoe UI"/>
        </w:rPr>
        <w:t>i giardini</w:t>
      </w:r>
    </w:p>
    <w:p>
      <w:pPr>
        <w:pStyle w:val="BodyText"/>
        <w:numPr>
          <w:ilvl w:val="2"/>
          <w:numId w:val="2"/>
        </w:numPr>
        <w:jc w:val="both"/>
        <w:rPr/>
      </w:pPr>
      <w:r>
        <w:rPr>
          <w:rFonts w:cs="Segoe UI" w:ascii="Segoe UI" w:hAnsi="Segoe UI"/>
        </w:rPr>
        <w:t>i parchi gioco</w:t>
      </w:r>
    </w:p>
    <w:p>
      <w:pPr>
        <w:pStyle w:val="BodyText"/>
        <w:numPr>
          <w:ilvl w:val="2"/>
          <w:numId w:val="2"/>
        </w:numPr>
        <w:jc w:val="both"/>
        <w:rPr/>
      </w:pPr>
      <w:r>
        <w:rPr>
          <w:rFonts w:cs="Segoe UI" w:ascii="Segoe UI" w:hAnsi="Segoe UI"/>
        </w:rPr>
        <w:t>le aiuole</w:t>
      </w:r>
    </w:p>
    <w:p>
      <w:pPr>
        <w:pStyle w:val="BodyText"/>
        <w:numPr>
          <w:ilvl w:val="2"/>
          <w:numId w:val="2"/>
        </w:numPr>
        <w:jc w:val="both"/>
        <w:rPr/>
      </w:pPr>
      <w:r>
        <w:rPr>
          <w:rFonts w:cs="Segoe UI" w:ascii="Segoe UI" w:hAnsi="Segoe UI"/>
        </w:rPr>
        <w:t>le aiuole stradali</w:t>
      </w:r>
    </w:p>
    <w:p>
      <w:pPr>
        <w:pStyle w:val="BodyText"/>
        <w:numPr>
          <w:ilvl w:val="2"/>
          <w:numId w:val="2"/>
        </w:numPr>
        <w:jc w:val="both"/>
        <w:rPr/>
      </w:pPr>
      <w:r>
        <w:rPr>
          <w:rFonts w:cs="Segoe UI" w:ascii="Segoe UI" w:hAnsi="Segoe UI"/>
        </w:rPr>
        <w:t>i marciapiedi</w:t>
      </w:r>
    </w:p>
    <w:p>
      <w:pPr>
        <w:pStyle w:val="BodyText"/>
        <w:numPr>
          <w:ilvl w:val="2"/>
          <w:numId w:val="2"/>
        </w:numPr>
        <w:jc w:val="both"/>
        <w:rPr/>
      </w:pPr>
      <w:r>
        <w:rPr>
          <w:rFonts w:cs="Segoe UI" w:ascii="Segoe UI" w:hAnsi="Segoe UI"/>
        </w:rPr>
        <w:t>le alberature stradali</w:t>
      </w:r>
    </w:p>
    <w:p>
      <w:pPr>
        <w:pStyle w:val="BodyText"/>
        <w:numPr>
          <w:ilvl w:val="2"/>
          <w:numId w:val="2"/>
        </w:numPr>
        <w:jc w:val="both"/>
        <w:rPr/>
      </w:pPr>
      <w:r>
        <w:rPr>
          <w:rFonts w:cs="Segoe UI" w:ascii="Segoe UI" w:hAnsi="Segoe UI"/>
        </w:rPr>
        <w:t>le fioriere e le aiuole fiorite, i vasi</w:t>
      </w:r>
    </w:p>
    <w:p>
      <w:pPr>
        <w:pStyle w:val="BodyText"/>
        <w:numPr>
          <w:ilvl w:val="2"/>
          <w:numId w:val="2"/>
        </w:numPr>
        <w:jc w:val="both"/>
        <w:rPr/>
      </w:pPr>
      <w:r>
        <w:rPr>
          <w:rFonts w:cs="Segoe UI" w:ascii="Segoe UI" w:hAnsi="Segoe UI"/>
        </w:rPr>
        <w:t>le aree di pertinenza degli edifici di proprietà o in uso al Committente</w:t>
      </w:r>
    </w:p>
    <w:p>
      <w:pPr>
        <w:pStyle w:val="BodyText"/>
        <w:numPr>
          <w:ilvl w:val="2"/>
          <w:numId w:val="2"/>
        </w:numPr>
        <w:jc w:val="both"/>
        <w:rPr/>
      </w:pPr>
      <w:r>
        <w:rPr>
          <w:rFonts w:cs="Segoe UI" w:ascii="Segoe UI" w:hAnsi="Segoe UI"/>
        </w:rPr>
        <w:t>aree boscate</w:t>
      </w:r>
    </w:p>
    <w:p>
      <w:pPr>
        <w:pStyle w:val="BodyText"/>
        <w:numPr>
          <w:ilvl w:val="2"/>
          <w:numId w:val="2"/>
        </w:numPr>
        <w:jc w:val="both"/>
        <w:rPr/>
      </w:pPr>
      <w:r>
        <w:rPr>
          <w:rFonts w:cs="Segoe UI" w:ascii="Segoe UI" w:hAnsi="Segoe UI"/>
        </w:rPr>
        <w:t>rogge e fontanili</w:t>
      </w:r>
    </w:p>
    <w:p>
      <w:pPr>
        <w:pStyle w:val="BodyText"/>
        <w:numPr>
          <w:ilvl w:val="2"/>
          <w:numId w:val="2"/>
        </w:numPr>
        <w:jc w:val="both"/>
        <w:rPr/>
      </w:pPr>
      <w:r>
        <w:rPr>
          <w:rFonts w:cs="Segoe UI" w:ascii="Segoe UI" w:hAnsi="Segoe UI"/>
        </w:rPr>
        <w:t>fontane</w:t>
      </w:r>
    </w:p>
    <w:p>
      <w:pPr>
        <w:pStyle w:val="BodyText"/>
        <w:numPr>
          <w:ilvl w:val="2"/>
          <w:numId w:val="2"/>
        </w:numPr>
        <w:jc w:val="both"/>
        <w:rPr/>
      </w:pPr>
      <w:r>
        <w:rPr>
          <w:rFonts w:cs="Segoe UI" w:ascii="Segoe UI" w:hAnsi="Segoe UI"/>
        </w:rPr>
        <w:t>aree gioco</w:t>
      </w:r>
    </w:p>
    <w:p>
      <w:pPr>
        <w:pStyle w:val="BodyText"/>
        <w:numPr>
          <w:ilvl w:val="2"/>
          <w:numId w:val="2"/>
        </w:numPr>
        <w:jc w:val="both"/>
        <w:rPr/>
      </w:pPr>
      <w:r>
        <w:rPr>
          <w:rFonts w:cs="Segoe UI" w:ascii="Segoe UI" w:hAnsi="Segoe UI"/>
        </w:rPr>
        <w:t xml:space="preserve">campi sportivi </w:t>
      </w:r>
    </w:p>
    <w:p>
      <w:pPr>
        <w:pStyle w:val="BodyText"/>
        <w:numPr>
          <w:ilvl w:val="1"/>
          <w:numId w:val="2"/>
        </w:numPr>
        <w:jc w:val="both"/>
        <w:rPr/>
      </w:pPr>
      <w:r>
        <w:rPr>
          <w:rFonts w:cs="Segoe UI" w:ascii="Segoe UI" w:hAnsi="Segoe UI"/>
        </w:rPr>
        <w:t>Sono comprese le operazioni di taglio dell’erba, annaffiatura, pulizia dalle foglie, comprese quelle delle alberature stradali, manutenzione degli impianti, le potature, le spollonature, e quant’altro sotto descritto più dettagliatamente.</w:t>
      </w:r>
    </w:p>
    <w:p>
      <w:pPr>
        <w:pStyle w:val="BodyText"/>
        <w:tabs>
          <w:tab w:val="clear" w:pos="720"/>
          <w:tab w:val="left" w:pos="456" w:leader="none"/>
        </w:tabs>
        <w:overflowPunct w:val="false"/>
        <w:ind w:hanging="283" w:left="455" w:right="158"/>
        <w:jc w:val="both"/>
        <w:rPr>
          <w:rFonts w:ascii="Segoe UI" w:hAnsi="Segoe UI" w:cs="Segoe UI"/>
          <w:w w:val="105"/>
          <w:sz w:val="24"/>
          <w:szCs w:val="24"/>
        </w:rPr>
      </w:pPr>
      <w:r>
        <w:rPr>
          <w:rFonts w:cs="Segoe UI" w:ascii="Segoe UI" w:hAnsi="Segoe UI"/>
          <w:w w:val="105"/>
          <w:sz w:val="24"/>
          <w:szCs w:val="24"/>
        </w:rPr>
      </w:r>
    </w:p>
    <w:p>
      <w:pPr>
        <w:pStyle w:val="Articolo"/>
        <w:numPr>
          <w:ilvl w:val="0"/>
          <w:numId w:val="2"/>
        </w:numPr>
        <w:jc w:val="center"/>
        <w:outlineLvl w:val="0"/>
        <w:rPr/>
      </w:pPr>
      <w:bookmarkStart w:id="3" w:name="__RefHeading___Toc5921_3683703472"/>
      <w:bookmarkStart w:id="4" w:name="_Toc148986374"/>
      <w:bookmarkEnd w:id="3"/>
      <w:r>
        <w:rPr>
          <w:rFonts w:cs="Segoe UI" w:ascii="Segoe UI" w:hAnsi="Segoe UI"/>
          <w:b/>
          <w:bCs/>
          <w:sz w:val="24"/>
          <w:szCs w:val="24"/>
        </w:rPr>
        <w:t>Condizioni dell’appalto</w:t>
      </w:r>
      <w:bookmarkEnd w:id="4"/>
    </w:p>
    <w:p>
      <w:pPr>
        <w:pStyle w:val="BodyText"/>
        <w:numPr>
          <w:ilvl w:val="1"/>
          <w:numId w:val="2"/>
        </w:numPr>
        <w:jc w:val="both"/>
        <w:rPr/>
      </w:pPr>
      <w:r>
        <w:rPr>
          <w:rFonts w:cs="Segoe UI" w:ascii="Segoe UI" w:hAnsi="Segoe UI"/>
        </w:rPr>
        <w:t>Le prestazioni che formano oggetto dell’appalto possono riassumersi come di seguito riportato, salvo ulteriori eventuali indicazioni, prescrizioni, ecc., che, al momento dell’esecuzione, potranno essere impartite dal Direttore dell’esecuzione.</w:t>
      </w:r>
    </w:p>
    <w:p>
      <w:pPr>
        <w:pStyle w:val="BodyText"/>
        <w:numPr>
          <w:ilvl w:val="1"/>
          <w:numId w:val="2"/>
        </w:numPr>
        <w:jc w:val="both"/>
        <w:rPr/>
      </w:pPr>
      <w:r>
        <w:rPr>
          <w:rFonts w:cs="Segoe UI" w:ascii="Segoe UI" w:hAnsi="Segoe UI"/>
        </w:rPr>
        <w:t>Le prestazioni previste dall’appalto saranno compensate in parte a corpo ed in parte a misura come da tabella sottostante:</w:t>
      </w:r>
    </w:p>
    <w:p>
      <w:pPr>
        <w:pStyle w:val="BodyText"/>
        <w:ind w:hanging="0" w:left="1592"/>
        <w:jc w:val="both"/>
        <w:rPr>
          <w:rFonts w:ascii="Segoe UI" w:hAnsi="Segoe UI" w:cs="Segoe UI"/>
          <w:b/>
          <w:iCs/>
        </w:rPr>
      </w:pPr>
      <w:r>
        <w:rPr>
          <w:rFonts w:cs="Segoe UI" w:ascii="Segoe UI" w:hAnsi="Segoe UI"/>
          <w:b/>
          <w:iCs/>
        </w:rPr>
        <w:t>LAVORAZIONI COMPENSATE A CORPO</w:t>
      </w:r>
    </w:p>
    <w:tbl>
      <w:tblPr>
        <w:tblW w:w="8432" w:type="dxa"/>
        <w:jc w:val="left"/>
        <w:tblInd w:w="1487" w:type="dxa"/>
        <w:tblLayout w:type="fixed"/>
        <w:tblCellMar>
          <w:top w:w="0" w:type="dxa"/>
          <w:left w:w="108" w:type="dxa"/>
          <w:bottom w:w="0" w:type="dxa"/>
          <w:right w:w="108" w:type="dxa"/>
        </w:tblCellMar>
        <w:tblLook w:firstRow="0" w:noVBand="0" w:lastRow="0" w:firstColumn="0" w:lastColumn="0" w:noHBand="0" w:val="0000"/>
      </w:tblPr>
      <w:tblGrid>
        <w:gridCol w:w="1882"/>
        <w:gridCol w:w="6549"/>
      </w:tblGrid>
      <w:tr>
        <w:trPr/>
        <w:tc>
          <w:tcPr>
            <w:tcW w:w="1882" w:type="dxa"/>
            <w:tcBorders>
              <w:top w:val="single" w:sz="4" w:space="0" w:color="000000"/>
              <w:left w:val="single" w:sz="4" w:space="0" w:color="000000"/>
              <w:bottom w:val="single" w:sz="4" w:space="0" w:color="000000"/>
            </w:tcBorders>
            <w:shd w:color="auto" w:fill="auto" w:val="clear"/>
          </w:tcPr>
          <w:p>
            <w:pPr>
              <w:pStyle w:val="Normal"/>
              <w:widowControl w:val="false"/>
              <w:jc w:val="center"/>
              <w:rPr>
                <w:sz w:val="22"/>
                <w:szCs w:val="22"/>
              </w:rPr>
            </w:pPr>
            <w:r>
              <w:rPr>
                <w:rFonts w:cs="Segoe UI" w:ascii="Segoe UI" w:hAnsi="Segoe UI"/>
                <w:b/>
                <w:sz w:val="22"/>
                <w:szCs w:val="22"/>
              </w:rPr>
              <w:t>LAVORAZIONE</w:t>
            </w:r>
          </w:p>
        </w:tc>
        <w:tc>
          <w:tcPr>
            <w:tcW w:w="654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sz w:val="22"/>
                <w:szCs w:val="22"/>
              </w:rPr>
            </w:pPr>
            <w:r>
              <w:rPr>
                <w:rFonts w:cs="Segoe UI" w:ascii="Segoe UI" w:hAnsi="Segoe UI"/>
                <w:b/>
                <w:sz w:val="22"/>
                <w:szCs w:val="22"/>
              </w:rPr>
              <w:t>DESCRIZIONE SOMMARIA</w:t>
            </w:r>
          </w:p>
        </w:tc>
      </w:tr>
      <w:tr>
        <w:trPr/>
        <w:tc>
          <w:tcPr>
            <w:tcW w:w="1882" w:type="dxa"/>
            <w:tcBorders>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4</w:t>
            </w:r>
          </w:p>
        </w:tc>
        <w:tc>
          <w:tcPr>
            <w:tcW w:w="6549"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Manutenzione degli arbusti</w:t>
            </w:r>
          </w:p>
        </w:tc>
      </w:tr>
      <w:tr>
        <w:trPr/>
        <w:tc>
          <w:tcPr>
            <w:tcW w:w="1882" w:type="dxa"/>
            <w:tcBorders>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11.1-3</w:t>
            </w:r>
          </w:p>
        </w:tc>
        <w:tc>
          <w:tcPr>
            <w:tcW w:w="6549"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Manutenzione aiuole, fioriere, vasi</w:t>
            </w:r>
          </w:p>
        </w:tc>
      </w:tr>
      <w:tr>
        <w:trPr/>
        <w:tc>
          <w:tcPr>
            <w:tcW w:w="1882"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13</w:t>
            </w:r>
          </w:p>
        </w:tc>
        <w:tc>
          <w:tcPr>
            <w:tcW w:w="654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Manutenzione Roggia Bertolera</w:t>
            </w:r>
          </w:p>
        </w:tc>
      </w:tr>
      <w:tr>
        <w:trPr/>
        <w:tc>
          <w:tcPr>
            <w:tcW w:w="1882"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15</w:t>
            </w:r>
          </w:p>
        </w:tc>
        <w:tc>
          <w:tcPr>
            <w:tcW w:w="654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Gestione impianti di irrigazione</w:t>
            </w:r>
          </w:p>
        </w:tc>
      </w:tr>
      <w:tr>
        <w:trPr/>
        <w:tc>
          <w:tcPr>
            <w:tcW w:w="1882" w:type="dxa"/>
            <w:tcBorders>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17</w:t>
            </w:r>
          </w:p>
        </w:tc>
        <w:tc>
          <w:tcPr>
            <w:tcW w:w="6549"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Manutenzione dei campi sportivi</w:t>
            </w:r>
          </w:p>
        </w:tc>
      </w:tr>
      <w:tr>
        <w:trPr>
          <w:trHeight w:val="333" w:hRule="atLeast"/>
        </w:trPr>
        <w:tc>
          <w:tcPr>
            <w:tcW w:w="1882"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18</w:t>
            </w:r>
          </w:p>
        </w:tc>
        <w:tc>
          <w:tcPr>
            <w:tcW w:w="654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Servizio di reperibilità</w:t>
            </w:r>
          </w:p>
        </w:tc>
      </w:tr>
      <w:tr>
        <w:trPr>
          <w:trHeight w:val="333" w:hRule="atLeast"/>
        </w:trPr>
        <w:tc>
          <w:tcPr>
            <w:tcW w:w="1882" w:type="dxa"/>
            <w:tcBorders>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19</w:t>
            </w:r>
          </w:p>
        </w:tc>
        <w:tc>
          <w:tcPr>
            <w:tcW w:w="6549"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Quota annua aggiornamento censimento del verde e mantenimento</w:t>
            </w:r>
          </w:p>
        </w:tc>
      </w:tr>
      <w:tr>
        <w:trPr/>
        <w:tc>
          <w:tcPr>
            <w:tcW w:w="1882"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20</w:t>
            </w:r>
          </w:p>
        </w:tc>
        <w:tc>
          <w:tcPr>
            <w:tcW w:w="654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Manutenzione aree gioco attrezzate</w:t>
            </w:r>
          </w:p>
        </w:tc>
      </w:tr>
    </w:tbl>
    <w:p>
      <w:pPr>
        <w:pStyle w:val="BodyText"/>
        <w:ind w:hanging="0" w:left="1592"/>
        <w:jc w:val="both"/>
        <w:rPr>
          <w:rFonts w:ascii="Segoe UI" w:hAnsi="Segoe UI" w:cs="Segoe UI"/>
          <w:b/>
          <w:iCs/>
        </w:rPr>
      </w:pPr>
      <w:r>
        <w:rPr>
          <w:rFonts w:cs="Segoe UI" w:ascii="Segoe UI" w:hAnsi="Segoe UI"/>
          <w:b/>
          <w:iCs/>
        </w:rPr>
      </w:r>
    </w:p>
    <w:p>
      <w:pPr>
        <w:pStyle w:val="BodyText"/>
        <w:ind w:hanging="0" w:left="1592"/>
        <w:jc w:val="both"/>
        <w:rPr>
          <w:rFonts w:ascii="Segoe UI" w:hAnsi="Segoe UI" w:cs="Segoe UI"/>
          <w:b/>
          <w:iCs/>
        </w:rPr>
      </w:pPr>
      <w:r>
        <w:rPr>
          <w:rFonts w:cs="Segoe UI" w:ascii="Segoe UI" w:hAnsi="Segoe UI"/>
          <w:b/>
          <w:iCs/>
        </w:rPr>
        <w:t>LAVORAZIONI COMPENSATE A MISURA</w:t>
      </w:r>
    </w:p>
    <w:tbl>
      <w:tblPr>
        <w:tblW w:w="8402" w:type="dxa"/>
        <w:jc w:val="left"/>
        <w:tblInd w:w="1487" w:type="dxa"/>
        <w:tblLayout w:type="fixed"/>
        <w:tblCellMar>
          <w:top w:w="0" w:type="dxa"/>
          <w:left w:w="108" w:type="dxa"/>
          <w:bottom w:w="0" w:type="dxa"/>
          <w:right w:w="108" w:type="dxa"/>
        </w:tblCellMar>
        <w:tblLook w:firstRow="0" w:noVBand="0" w:lastRow="0" w:firstColumn="0" w:lastColumn="0" w:noHBand="0" w:val="0000"/>
      </w:tblPr>
      <w:tblGrid>
        <w:gridCol w:w="1882"/>
        <w:gridCol w:w="6519"/>
      </w:tblGrid>
      <w:tr>
        <w:trPr/>
        <w:tc>
          <w:tcPr>
            <w:tcW w:w="1882" w:type="dxa"/>
            <w:tcBorders>
              <w:top w:val="single" w:sz="4" w:space="0" w:color="000000"/>
              <w:left w:val="single" w:sz="4" w:space="0" w:color="000000"/>
              <w:bottom w:val="single" w:sz="4" w:space="0" w:color="000000"/>
            </w:tcBorders>
            <w:shd w:color="auto" w:fill="auto" w:val="clear"/>
          </w:tcPr>
          <w:p>
            <w:pPr>
              <w:pStyle w:val="Normal"/>
              <w:widowControl w:val="false"/>
              <w:jc w:val="center"/>
              <w:rPr>
                <w:sz w:val="22"/>
                <w:szCs w:val="22"/>
              </w:rPr>
            </w:pPr>
            <w:r>
              <w:rPr>
                <w:rFonts w:cs="Segoe UI" w:ascii="Segoe UI" w:hAnsi="Segoe UI"/>
                <w:b/>
                <w:sz w:val="22"/>
                <w:szCs w:val="22"/>
              </w:rPr>
              <w:t>LAVORAZIONE</w:t>
            </w:r>
          </w:p>
        </w:tc>
        <w:tc>
          <w:tcPr>
            <w:tcW w:w="6519" w:type="dxa"/>
            <w:tcBorders>
              <w:top w:val="single" w:sz="4" w:space="0" w:color="000000"/>
              <w:left w:val="single" w:sz="4" w:space="0" w:color="000000"/>
              <w:bottom w:val="single" w:sz="4" w:space="0" w:color="000000"/>
              <w:right w:val="single" w:sz="4" w:space="0" w:color="000000"/>
            </w:tcBorders>
            <w:shd w:color="auto" w:fill="auto" w:val="clear"/>
          </w:tcPr>
          <w:p>
            <w:pPr>
              <w:pStyle w:val="Normal"/>
              <w:widowControl w:val="false"/>
              <w:jc w:val="center"/>
              <w:rPr>
                <w:sz w:val="22"/>
                <w:szCs w:val="22"/>
              </w:rPr>
            </w:pPr>
            <w:r>
              <w:rPr>
                <w:rFonts w:cs="Segoe UI" w:ascii="Segoe UI" w:hAnsi="Segoe UI"/>
                <w:b/>
                <w:sz w:val="22"/>
                <w:szCs w:val="22"/>
              </w:rPr>
              <w:t>DESCRIZIONE SOMMARIA</w:t>
            </w:r>
          </w:p>
        </w:tc>
      </w:tr>
      <w:tr>
        <w:trPr/>
        <w:tc>
          <w:tcPr>
            <w:tcW w:w="1882"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1.1-4</w:t>
            </w:r>
          </w:p>
        </w:tc>
        <w:tc>
          <w:tcPr>
            <w:tcW w:w="65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Mantenimento prati a mezzo sfalcio periodico</w:t>
            </w:r>
          </w:p>
        </w:tc>
      </w:tr>
      <w:tr>
        <w:trPr/>
        <w:tc>
          <w:tcPr>
            <w:tcW w:w="1882"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2</w:t>
            </w:r>
          </w:p>
        </w:tc>
        <w:tc>
          <w:tcPr>
            <w:tcW w:w="65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Manutenzione carreggiabili erbose</w:t>
            </w:r>
          </w:p>
        </w:tc>
      </w:tr>
      <w:tr>
        <w:trPr/>
        <w:tc>
          <w:tcPr>
            <w:tcW w:w="1882"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3</w:t>
            </w:r>
          </w:p>
        </w:tc>
        <w:tc>
          <w:tcPr>
            <w:tcW w:w="65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Manutenzione delle siepi</w:t>
            </w:r>
          </w:p>
        </w:tc>
      </w:tr>
      <w:tr>
        <w:trPr/>
        <w:tc>
          <w:tcPr>
            <w:tcW w:w="1882"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5</w:t>
            </w:r>
          </w:p>
        </w:tc>
        <w:tc>
          <w:tcPr>
            <w:tcW w:w="65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rFonts w:ascii="Segoe UI" w:hAnsi="Segoe UI" w:cs="Segoe UI"/>
                <w:sz w:val="22"/>
                <w:szCs w:val="22"/>
              </w:rPr>
            </w:pPr>
            <w:r>
              <w:rPr>
                <w:rFonts w:cs="Segoe UI" w:ascii="Segoe UI" w:hAnsi="Segoe UI"/>
                <w:sz w:val="22"/>
                <w:szCs w:val="22"/>
              </w:rPr>
              <w:t>Potatura annuale/biennale “pollarding” e spollonatura costante dei tigli del quartiere Satellite</w:t>
            </w:r>
          </w:p>
        </w:tc>
      </w:tr>
      <w:tr>
        <w:trPr/>
        <w:tc>
          <w:tcPr>
            <w:tcW w:w="1882" w:type="dxa"/>
            <w:tcBorders>
              <w:left w:val="single" w:sz="4" w:space="0" w:color="000000"/>
              <w:bottom w:val="single" w:sz="4" w:space="0" w:color="000000"/>
            </w:tcBorders>
            <w:shd w:color="auto" w:fill="auto" w:val="clear"/>
            <w:vAlign w:val="center"/>
          </w:tcPr>
          <w:p>
            <w:pPr>
              <w:pStyle w:val="Normal"/>
              <w:widowControl w:val="false"/>
              <w:jc w:val="center"/>
              <w:rPr>
                <w:rFonts w:ascii="Segoe UI" w:hAnsi="Segoe UI" w:cs="Segoe UI"/>
                <w:sz w:val="22"/>
                <w:szCs w:val="22"/>
              </w:rPr>
            </w:pPr>
            <w:r>
              <w:rPr>
                <w:rFonts w:cs="Segoe UI" w:ascii="Segoe UI" w:hAnsi="Segoe UI"/>
                <w:sz w:val="22"/>
                <w:szCs w:val="22"/>
              </w:rPr>
              <w:t>6.1</w:t>
            </w:r>
          </w:p>
        </w:tc>
        <w:tc>
          <w:tcPr>
            <w:tcW w:w="6519" w:type="dxa"/>
            <w:tcBorders>
              <w:left w:val="single" w:sz="4" w:space="0" w:color="000000"/>
              <w:bottom w:val="single" w:sz="4" w:space="0" w:color="000000"/>
              <w:right w:val="single" w:sz="4" w:space="0" w:color="000000"/>
            </w:tcBorders>
            <w:shd w:color="auto" w:fill="auto" w:val="clear"/>
            <w:vAlign w:val="center"/>
          </w:tcPr>
          <w:p>
            <w:pPr>
              <w:pStyle w:val="Normal"/>
              <w:widowControl w:val="false"/>
              <w:jc w:val="both"/>
              <w:rPr>
                <w:rFonts w:ascii="Segoe UI" w:hAnsi="Segoe UI" w:cs="Segoe UI"/>
                <w:sz w:val="22"/>
                <w:szCs w:val="22"/>
              </w:rPr>
            </w:pPr>
            <w:r>
              <w:rPr>
                <w:rFonts w:cs="Segoe UI" w:ascii="Segoe UI" w:hAnsi="Segoe UI"/>
                <w:sz w:val="22"/>
                <w:szCs w:val="22"/>
              </w:rPr>
              <w:t>Potatura in forma obbligata di alberi sempreverdi (Cupressus, Ligustrum)</w:t>
            </w:r>
          </w:p>
        </w:tc>
      </w:tr>
      <w:tr>
        <w:trPr/>
        <w:tc>
          <w:tcPr>
            <w:tcW w:w="1882" w:type="dxa"/>
            <w:tcBorders>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6.2-5</w:t>
            </w:r>
          </w:p>
        </w:tc>
        <w:tc>
          <w:tcPr>
            <w:tcW w:w="6519"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Potature alberature</w:t>
            </w:r>
          </w:p>
        </w:tc>
      </w:tr>
      <w:tr>
        <w:trPr/>
        <w:tc>
          <w:tcPr>
            <w:tcW w:w="1882"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7.1-4</w:t>
            </w:r>
          </w:p>
        </w:tc>
        <w:tc>
          <w:tcPr>
            <w:tcW w:w="65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Rimonda del secco alberature</w:t>
            </w:r>
          </w:p>
        </w:tc>
      </w:tr>
      <w:tr>
        <w:trPr/>
        <w:tc>
          <w:tcPr>
            <w:tcW w:w="1882" w:type="dxa"/>
            <w:tcBorders>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8.1-2</w:t>
            </w:r>
          </w:p>
        </w:tc>
        <w:tc>
          <w:tcPr>
            <w:tcW w:w="6519"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Pulizia fusto e spalcatura alberi</w:t>
            </w:r>
          </w:p>
        </w:tc>
      </w:tr>
      <w:tr>
        <w:trPr/>
        <w:tc>
          <w:tcPr>
            <w:tcW w:w="1882" w:type="dxa"/>
            <w:tcBorders>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9.1-5</w:t>
            </w:r>
          </w:p>
        </w:tc>
        <w:tc>
          <w:tcPr>
            <w:tcW w:w="6519"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Abbattimento di alberi</w:t>
            </w:r>
          </w:p>
        </w:tc>
      </w:tr>
      <w:tr>
        <w:trPr/>
        <w:tc>
          <w:tcPr>
            <w:tcW w:w="1882"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rFonts w:ascii="Segoe UI" w:hAnsi="Segoe UI" w:cs="Segoe UI"/>
                <w:sz w:val="22"/>
                <w:szCs w:val="22"/>
              </w:rPr>
            </w:pPr>
            <w:r>
              <w:rPr>
                <w:rFonts w:cs="Segoe UI" w:ascii="Segoe UI" w:hAnsi="Segoe UI"/>
                <w:sz w:val="22"/>
                <w:szCs w:val="22"/>
              </w:rPr>
              <w:t>10.1-3</w:t>
            </w:r>
          </w:p>
        </w:tc>
        <w:tc>
          <w:tcPr>
            <w:tcW w:w="65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Fornitura, messa a dimora, manutenzione e garanzia nuovi alberi</w:t>
            </w:r>
          </w:p>
        </w:tc>
      </w:tr>
      <w:tr>
        <w:trPr/>
        <w:tc>
          <w:tcPr>
            <w:tcW w:w="1882"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12</w:t>
            </w:r>
          </w:p>
        </w:tc>
        <w:tc>
          <w:tcPr>
            <w:tcW w:w="65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Raccolta foglie</w:t>
            </w:r>
          </w:p>
        </w:tc>
      </w:tr>
      <w:tr>
        <w:trPr/>
        <w:tc>
          <w:tcPr>
            <w:tcW w:w="1882"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14</w:t>
            </w:r>
          </w:p>
        </w:tc>
        <w:tc>
          <w:tcPr>
            <w:tcW w:w="65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Irrigazione di soccorso giovani alberi esistenti</w:t>
            </w:r>
          </w:p>
        </w:tc>
      </w:tr>
      <w:tr>
        <w:trPr/>
        <w:tc>
          <w:tcPr>
            <w:tcW w:w="1882" w:type="dxa"/>
            <w:tcBorders>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16</w:t>
            </w:r>
          </w:p>
        </w:tc>
        <w:tc>
          <w:tcPr>
            <w:tcW w:w="6519" w:type="dxa"/>
            <w:tcBorders>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Formazione nuovi tappeti erbosi</w:t>
            </w:r>
          </w:p>
        </w:tc>
      </w:tr>
      <w:tr>
        <w:trPr/>
        <w:tc>
          <w:tcPr>
            <w:tcW w:w="1882" w:type="dxa"/>
            <w:tcBorders>
              <w:top w:val="single" w:sz="4" w:space="0" w:color="000000"/>
              <w:left w:val="single" w:sz="4" w:space="0" w:color="000000"/>
              <w:bottom w:val="single" w:sz="4" w:space="0" w:color="000000"/>
            </w:tcBorders>
            <w:shd w:color="auto" w:fill="auto" w:val="clear"/>
            <w:vAlign w:val="center"/>
          </w:tcPr>
          <w:p>
            <w:pPr>
              <w:pStyle w:val="Normal"/>
              <w:widowControl w:val="false"/>
              <w:jc w:val="center"/>
              <w:rPr>
                <w:sz w:val="22"/>
                <w:szCs w:val="22"/>
              </w:rPr>
            </w:pPr>
            <w:r>
              <w:rPr>
                <w:rFonts w:cs="Segoe UI" w:ascii="Segoe UI" w:hAnsi="Segoe UI"/>
                <w:sz w:val="22"/>
                <w:szCs w:val="22"/>
              </w:rPr>
              <w:t>21.1-4</w:t>
            </w:r>
          </w:p>
        </w:tc>
        <w:tc>
          <w:tcPr>
            <w:tcW w:w="65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rPr>
                <w:sz w:val="22"/>
                <w:szCs w:val="22"/>
              </w:rPr>
            </w:pPr>
            <w:r>
              <w:rPr>
                <w:rFonts w:cs="Segoe UI" w:ascii="Segoe UI" w:hAnsi="Segoe UI"/>
                <w:sz w:val="22"/>
                <w:szCs w:val="22"/>
              </w:rPr>
              <w:t>Analisi della stabilità visiva/strumentale di alberature</w:t>
            </w:r>
          </w:p>
        </w:tc>
      </w:tr>
    </w:tbl>
    <w:p>
      <w:pPr>
        <w:pStyle w:val="BodyText"/>
        <w:spacing w:before="0" w:after="120"/>
        <w:ind w:hanging="0" w:left="1592"/>
        <w:jc w:val="both"/>
        <w:rPr>
          <w:rFonts w:ascii="Segoe UI" w:hAnsi="Segoe UI" w:cs="Segoe UI"/>
        </w:rPr>
      </w:pPr>
      <w:r>
        <w:rPr>
          <w:rFonts w:cs="Segoe UI" w:ascii="Segoe UI" w:hAnsi="Segoe UI"/>
        </w:rPr>
      </w:r>
    </w:p>
    <w:p>
      <w:pPr>
        <w:pStyle w:val="BodyText"/>
        <w:spacing w:before="0" w:after="120"/>
        <w:ind w:hanging="0" w:left="1592"/>
        <w:jc w:val="both"/>
        <w:rPr/>
      </w:pPr>
      <w:r>
        <w:rPr>
          <w:rFonts w:cs="Segoe UI" w:ascii="Segoe UI" w:hAnsi="Segoe UI"/>
        </w:rPr>
        <w:t>È facoltà del Direttore dell’esecuzione, senza che per questo spetti un compenso particolare all’Appaltatore, ordinare:</w:t>
      </w:r>
    </w:p>
    <w:p>
      <w:pPr>
        <w:pStyle w:val="Normal"/>
        <w:numPr>
          <w:ilvl w:val="2"/>
          <w:numId w:val="2"/>
        </w:numPr>
        <w:spacing w:before="0" w:after="120"/>
        <w:jc w:val="both"/>
        <w:rPr/>
      </w:pPr>
      <w:r>
        <w:rPr>
          <w:rFonts w:cs="Segoe UI" w:ascii="Segoe UI" w:hAnsi="Segoe UI"/>
          <w:sz w:val="22"/>
          <w:szCs w:val="22"/>
        </w:rPr>
        <w:t>Periodi di esecuzione delle operazioni programmate e periodiche, specie in relazione all’andamento stagionale</w:t>
      </w:r>
    </w:p>
    <w:p>
      <w:pPr>
        <w:pStyle w:val="Normal"/>
        <w:numPr>
          <w:ilvl w:val="2"/>
          <w:numId w:val="2"/>
        </w:numPr>
        <w:spacing w:before="0" w:after="120"/>
        <w:jc w:val="both"/>
        <w:rPr/>
      </w:pPr>
      <w:r>
        <w:rPr>
          <w:rFonts w:cs="Segoe UI" w:ascii="Segoe UI" w:hAnsi="Segoe UI"/>
          <w:sz w:val="22"/>
          <w:szCs w:val="22"/>
        </w:rPr>
        <w:t>Numero di interventi di sfalcio, potature siepi, abbattimenti alberi, etc: il quantitativo presunto è indicativo in quanto si potranno avere variazioni sia di quantità che di localizzazione. Per esempio: se sono previsti 9 sfalci/anno in un area, se ne potranno fare di meno e spostare il corrispondente quantitativo su altra area per effettuare 10 sfalci/anno, o eseguire sfalci su aree di nuova acquisizione, il tutto all’interno dello stesso valore.</w:t>
      </w:r>
    </w:p>
    <w:p>
      <w:pPr>
        <w:pStyle w:val="Normal"/>
        <w:numPr>
          <w:ilvl w:val="2"/>
          <w:numId w:val="2"/>
        </w:numPr>
        <w:spacing w:before="0" w:after="120"/>
        <w:jc w:val="both"/>
        <w:rPr/>
      </w:pPr>
      <w:r>
        <w:rPr>
          <w:rFonts w:cs="Segoe UI" w:ascii="Segoe UI" w:hAnsi="Segoe UI"/>
          <w:sz w:val="22"/>
          <w:szCs w:val="22"/>
        </w:rPr>
        <w:t>L’esecuzione di interventi entro una determinata data. Esempio: eseguire lo sfalcio dell’erba di tutte le aree verdi entro e non oltre 15gg.</w:t>
      </w:r>
    </w:p>
    <w:p>
      <w:pPr>
        <w:pStyle w:val="Normal"/>
        <w:spacing w:before="129" w:after="0"/>
        <w:ind w:hanging="0" w:left="1440"/>
        <w:jc w:val="both"/>
        <w:rPr>
          <w:rFonts w:ascii="Segoe UI" w:hAnsi="Segoe UI" w:cs="Segoe UI"/>
          <w:sz w:val="22"/>
          <w:szCs w:val="22"/>
        </w:rPr>
      </w:pPr>
      <w:r>
        <w:rPr>
          <w:rFonts w:cs="Segoe UI" w:ascii="Segoe UI" w:hAnsi="Segoe UI"/>
          <w:sz w:val="22"/>
          <w:szCs w:val="22"/>
        </w:rPr>
        <w:t xml:space="preserve">L’appaltatore, oltre la rendicontazione mediante apposito software come riportato </w:t>
      </w:r>
    </w:p>
    <w:p>
      <w:pPr>
        <w:pStyle w:val="Normal"/>
        <w:spacing w:before="129" w:after="0"/>
        <w:ind w:hanging="0" w:left="1440"/>
        <w:jc w:val="both"/>
        <w:rPr>
          <w:rFonts w:ascii="Segoe UI" w:hAnsi="Segoe UI" w:cs="Segoe UI"/>
          <w:sz w:val="22"/>
          <w:szCs w:val="22"/>
        </w:rPr>
      </w:pPr>
      <w:r>
        <w:rPr>
          <w:rFonts w:cs="Segoe UI" w:ascii="Segoe UI" w:hAnsi="Segoe UI"/>
          <w:sz w:val="22"/>
          <w:szCs w:val="22"/>
        </w:rPr>
        <w:t>all’art. 12 della parte 2,  è tenuto a redigere e mantenere un registro riportante, per ciascuno dei punti indicato nell’allegato A4, le date e la tipologia degli interventi manutentivi effettuati.</w:t>
      </w:r>
    </w:p>
    <w:p>
      <w:pPr>
        <w:pStyle w:val="Normal"/>
        <w:spacing w:before="129" w:after="0"/>
        <w:ind w:hanging="0" w:left="1440"/>
        <w:jc w:val="both"/>
        <w:rPr>
          <w:rFonts w:ascii="Segoe UI" w:hAnsi="Segoe UI" w:cs="Segoe UI"/>
          <w:sz w:val="22"/>
          <w:szCs w:val="22"/>
        </w:rPr>
      </w:pPr>
      <w:r>
        <w:rPr>
          <w:rFonts w:cs="Segoe UI" w:ascii="Segoe UI" w:hAnsi="Segoe UI"/>
          <w:sz w:val="22"/>
          <w:szCs w:val="22"/>
        </w:rPr>
        <w:t>Il cronoprogramma allegato non ha carattere vincolante per ogni annualità dell’appalto, ma dovrà essere preso a base per la formulazione dei crono programmi per ogni annualità dell’appalto, tenendo in considerazione l’andamento climatico stagionale dell’anno, con i quantitativi previsti in capitolato e con l’adeguamento del calendario, che avrà carattere vincolante per l’anno in corso e dovrà essere concordato con il Direttore dell’esecuzione.</w:t>
      </w:r>
    </w:p>
    <w:p>
      <w:pPr>
        <w:pStyle w:val="Normal"/>
        <w:spacing w:before="0" w:after="120"/>
        <w:ind w:hanging="0" w:left="1440"/>
        <w:jc w:val="both"/>
        <w:rPr/>
      </w:pPr>
      <w:r>
        <w:rPr/>
      </w:r>
    </w:p>
    <w:p>
      <w:pPr>
        <w:pStyle w:val="Articolo"/>
        <w:numPr>
          <w:ilvl w:val="0"/>
          <w:numId w:val="2"/>
        </w:numPr>
        <w:ind w:firstLine="86" w:left="340"/>
        <w:outlineLvl w:val="0"/>
        <w:rPr/>
      </w:pPr>
      <w:bookmarkStart w:id="5" w:name="__RefHeading___Toc5923_3683703472"/>
      <w:bookmarkStart w:id="6" w:name="_Toc148986375"/>
      <w:bookmarkEnd w:id="5"/>
      <w:r>
        <w:rPr>
          <w:rFonts w:cs="Segoe UI" w:ascii="Segoe UI" w:hAnsi="Segoe UI"/>
          <w:b/>
          <w:bCs/>
          <w:w w:val="105"/>
          <w:sz w:val="24"/>
          <w:szCs w:val="24"/>
        </w:rPr>
        <w:t>Lavorazioni che compongono il servizio di manutenzione del Verde</w:t>
      </w:r>
      <w:bookmarkEnd w:id="6"/>
    </w:p>
    <w:p>
      <w:pPr>
        <w:pStyle w:val="BodyText"/>
        <w:spacing w:before="129" w:after="0"/>
        <w:ind w:hanging="0" w:left="1592"/>
        <w:jc w:val="both"/>
        <w:rPr/>
      </w:pPr>
      <w:r>
        <w:rPr>
          <w:rFonts w:cs="Segoe UI" w:ascii="Segoe UI" w:hAnsi="Segoe UI"/>
          <w:b/>
          <w:bCs/>
          <w:color w:val="C9211E"/>
          <w:sz w:val="24"/>
          <w:szCs w:val="24"/>
        </w:rPr>
        <w:t xml:space="preserve">LAVORAZIONE 1 (1.1-1.2-1.3-1.4) </w:t>
      </w:r>
      <w:r>
        <w:rPr>
          <w:rFonts w:cs="Segoe UI" w:ascii="Segoe UI" w:hAnsi="Segoe UI"/>
          <w:b/>
          <w:bCs/>
          <w:i/>
          <w:iCs/>
          <w:color w:val="C9211E"/>
          <w:sz w:val="24"/>
          <w:szCs w:val="24"/>
        </w:rPr>
        <w:t>Taglio erba senza raccolta-mulching</w:t>
      </w:r>
    </w:p>
    <w:p>
      <w:pPr>
        <w:pStyle w:val="BodyText"/>
        <w:spacing w:before="129" w:after="0"/>
        <w:ind w:hanging="0" w:left="1418"/>
        <w:jc w:val="both"/>
        <w:rPr/>
      </w:pPr>
      <w:r>
        <w:rPr>
          <w:rFonts w:cs="Segoe UI" w:ascii="Segoe UI" w:hAnsi="Segoe UI"/>
          <w:b/>
          <w:bCs/>
        </w:rPr>
        <w:t xml:space="preserve">Mantenimento dei prati </w:t>
      </w:r>
      <w:r>
        <w:rPr>
          <w:rFonts w:cs="Segoe UI" w:ascii="Segoe UI" w:hAnsi="Segoe UI"/>
        </w:rPr>
        <w:t>a mezzo sfalcio con l’impiego di macchine tosaerba specifiche per tecnica del MULCHING, comprensivo della rifilatura dei cigli e dei marciapiedi tangenti esterni ed interni alle zone verdi, taglio dei polloni delle essenze presenti nell’area soggetta a sfalcio, raccolta, carico e smaltimento di tutto il materiale vegetale, con preventiva pulizia da carta, foglie, oggetti di varia natura e genere, inerti e ramaglia, presenti nelle aree indicate nell’Allegato A2 e graficamente censite nell’Allegato A1.A.</w:t>
      </w:r>
    </w:p>
    <w:p>
      <w:pPr>
        <w:pStyle w:val="Normal"/>
        <w:spacing w:before="129" w:after="0"/>
        <w:ind w:hanging="0" w:left="1440"/>
        <w:jc w:val="both"/>
        <w:rPr/>
      </w:pPr>
      <w:r>
        <w:rPr>
          <w:rFonts w:cs="Segoe UI" w:ascii="Segoe UI" w:hAnsi="Segoe UI"/>
          <w:b/>
          <w:bCs/>
          <w:sz w:val="22"/>
          <w:szCs w:val="22"/>
        </w:rPr>
        <w:t>Periodo di esercizio:</w:t>
      </w:r>
      <w:r>
        <w:rPr>
          <w:rFonts w:cs="Segoe UI" w:ascii="Segoe UI" w:hAnsi="Segoe UI"/>
          <w:sz w:val="22"/>
          <w:szCs w:val="22"/>
        </w:rPr>
        <w:t xml:space="preserve"> da marzo a novembre compreso, per ogni annualità.</w:t>
      </w:r>
    </w:p>
    <w:p>
      <w:pPr>
        <w:pStyle w:val="Normal"/>
        <w:spacing w:before="129" w:after="0"/>
        <w:ind w:hanging="0" w:left="1440"/>
        <w:jc w:val="both"/>
        <w:rPr/>
      </w:pPr>
      <w:r>
        <w:rPr>
          <w:rFonts w:cs="Segoe UI" w:ascii="Segoe UI" w:hAnsi="Segoe UI"/>
          <w:b/>
          <w:bCs/>
          <w:sz w:val="22"/>
          <w:szCs w:val="22"/>
        </w:rPr>
        <w:t>Periodicità:</w:t>
      </w:r>
      <w:r>
        <w:rPr>
          <w:rFonts w:cs="Segoe UI" w:ascii="Segoe UI" w:hAnsi="Segoe UI"/>
          <w:sz w:val="22"/>
          <w:szCs w:val="22"/>
        </w:rPr>
        <w:t xml:space="preserve"> secondo il crono-programma concordato annualmente con il Direttore dell’esecuzione prima dell’inizio delle operazioni di taglio.</w:t>
      </w:r>
    </w:p>
    <w:p>
      <w:pPr>
        <w:pStyle w:val="Normal"/>
        <w:spacing w:before="129" w:after="0"/>
        <w:ind w:hanging="0" w:left="1440"/>
        <w:jc w:val="both"/>
        <w:rPr/>
      </w:pPr>
      <w:r>
        <w:rPr>
          <w:rFonts w:cs="Segoe UI" w:ascii="Segoe UI" w:hAnsi="Segoe UI"/>
          <w:b/>
          <w:bCs/>
          <w:color w:val="000000"/>
          <w:sz w:val="22"/>
          <w:szCs w:val="22"/>
        </w:rPr>
        <w:t>Modalità operative:</w:t>
      </w:r>
      <w:r>
        <w:rPr>
          <w:rFonts w:cs="Segoe UI" w:ascii="Segoe UI" w:hAnsi="Segoe UI"/>
          <w:sz w:val="22"/>
          <w:szCs w:val="22"/>
        </w:rPr>
        <w:t xml:space="preserve"> l'intervento comporta la tradizionale operazione di taglio dell'erba che deve porsi come obiettivo la conservazione e l'infittimento del cotico erboso, di fatto tecnicamente definibile prato polifita stabile, in modo tale da garantire sia la preservazione del suolo che la agevole fruizione delle aree verdi, nonché le funzioni estetiche e di decoro delle medesime.</w:t>
      </w:r>
    </w:p>
    <w:p>
      <w:pPr>
        <w:pStyle w:val="Normal"/>
        <w:spacing w:before="129" w:after="0"/>
        <w:ind w:hanging="0" w:left="1440"/>
        <w:jc w:val="both"/>
        <w:rPr/>
      </w:pPr>
      <w:r>
        <w:rPr>
          <w:rFonts w:cs="Segoe UI" w:ascii="Segoe UI" w:hAnsi="Segoe UI"/>
          <w:sz w:val="22"/>
          <w:szCs w:val="22"/>
        </w:rPr>
        <w:t>Tale operazione deve perciò essere eseguita con le modalità dettate dalla buona tecnica agraria in modo tale da favorire l'accestimento delle erbe ed il giusto equilibrio fra le specie che costituiscono il consorzio erbaceo costituente il prato.</w:t>
      </w:r>
    </w:p>
    <w:p>
      <w:pPr>
        <w:pStyle w:val="Normal"/>
        <w:spacing w:before="129" w:after="0"/>
        <w:ind w:hanging="0" w:left="1440"/>
        <w:jc w:val="both"/>
        <w:rPr/>
      </w:pPr>
      <w:r>
        <w:rPr>
          <w:rFonts w:cs="Segoe UI" w:ascii="Segoe UI" w:hAnsi="Segoe UI"/>
          <w:sz w:val="22"/>
          <w:szCs w:val="22"/>
        </w:rPr>
        <w:t>Tempi e periodicità delle operazioni di sfalcio verranno definiti dal programma delle operazioni di sfalcio concordate annualmente con il Direttore dell’esecuzione che avrà carattere prescrittivo e vincolante per l’Appaltatore, il quale dovrà attenersi in modo scrupoloso.</w:t>
      </w:r>
    </w:p>
    <w:p>
      <w:pPr>
        <w:pStyle w:val="Normal"/>
        <w:spacing w:before="129" w:after="0"/>
        <w:ind w:hanging="0" w:left="1440"/>
        <w:jc w:val="both"/>
        <w:rPr/>
      </w:pPr>
      <w:r>
        <w:rPr>
          <w:rFonts w:cs="Segoe UI" w:ascii="Segoe UI" w:hAnsi="Segoe UI"/>
          <w:sz w:val="22"/>
          <w:szCs w:val="22"/>
        </w:rPr>
        <w:t xml:space="preserve">L'intervento dovrà effettuarsi esclusivamente con macchine operatrici ad asse rotante, verticale od orizzontale, meccaniche o manuali, specifiche per la tecnica del “MULCHING”. </w:t>
      </w:r>
    </w:p>
    <w:p>
      <w:pPr>
        <w:pStyle w:val="Normal"/>
        <w:spacing w:before="129" w:after="0"/>
        <w:ind w:hanging="0" w:left="1440"/>
        <w:jc w:val="both"/>
        <w:rPr/>
      </w:pPr>
      <w:r>
        <w:rPr>
          <w:rFonts w:cs="Segoe UI" w:ascii="Segoe UI" w:hAnsi="Segoe UI"/>
          <w:sz w:val="22"/>
          <w:szCs w:val="22"/>
        </w:rPr>
        <w:t xml:space="preserve">Nelle aiuole dove non è possibile procedere al taglio dell’erba con macchine tipo Kubota o similari, l’appaltatore procederà al taglio mediante macchine operatrici a spinta e con raccolta immediata. </w:t>
      </w:r>
    </w:p>
    <w:p>
      <w:pPr>
        <w:pStyle w:val="Normal"/>
        <w:spacing w:before="129" w:after="0"/>
        <w:ind w:hanging="0" w:left="1440"/>
        <w:jc w:val="both"/>
        <w:rPr/>
      </w:pPr>
      <w:r>
        <w:rPr>
          <w:rFonts w:cs="Segoe UI" w:ascii="Segoe UI" w:hAnsi="Segoe UI"/>
          <w:sz w:val="22"/>
          <w:szCs w:val="22"/>
        </w:rPr>
        <w:t xml:space="preserve">Non è ammesso l’utilizzo del decespugliatore quale succedaneo della macchina tagliaerba, il quale dovrà essere utilizzato solo e soltanto per le operazioni di </w:t>
      </w:r>
    </w:p>
    <w:p>
      <w:pPr>
        <w:pStyle w:val="Normal"/>
        <w:spacing w:before="129" w:after="0"/>
        <w:ind w:hanging="0" w:left="1440"/>
        <w:jc w:val="both"/>
        <w:rPr/>
      </w:pPr>
      <w:r>
        <w:rPr>
          <w:rFonts w:cs="Segoe UI" w:ascii="Segoe UI" w:hAnsi="Segoe UI"/>
          <w:sz w:val="22"/>
          <w:szCs w:val="22"/>
        </w:rPr>
        <w:t>rifilatura.</w:t>
      </w:r>
    </w:p>
    <w:p>
      <w:pPr>
        <w:pStyle w:val="Normal"/>
        <w:spacing w:before="129" w:after="0"/>
        <w:ind w:hanging="0" w:left="1440"/>
        <w:jc w:val="both"/>
        <w:rPr/>
      </w:pPr>
      <w:r>
        <w:rPr>
          <w:rFonts w:cs="Segoe UI" w:ascii="Segoe UI" w:hAnsi="Segoe UI"/>
          <w:sz w:val="22"/>
          <w:szCs w:val="22"/>
        </w:rPr>
        <w:t>Non dovranno perciò ritrovarsi, al termine di ogni intervento di sfalcio, andane, cumuli, depositi di materiale vegetale né sui prati, né sulle aiuole e bordure ecc., né nelle zone a copertura inerte. L'erba proveniente dalle operazioni di decespugliamento dovrà essere sempre e in ogni modo asportata.</w:t>
      </w:r>
    </w:p>
    <w:p>
      <w:pPr>
        <w:pStyle w:val="Normal"/>
        <w:spacing w:before="129" w:after="0"/>
        <w:ind w:hanging="0" w:left="1440"/>
        <w:jc w:val="both"/>
        <w:rPr/>
      </w:pPr>
      <w:r>
        <w:rPr>
          <w:rFonts w:cs="Segoe UI" w:ascii="Segoe UI" w:hAnsi="Segoe UI"/>
          <w:sz w:val="22"/>
          <w:szCs w:val="22"/>
        </w:rPr>
        <w:t>L'appaltatore asporterà nel più breve tempo possibile e in ogni caso entro le ventiquattro ore i materiali di risulta dello sfalcio e quanto recuperato dalla accurata rastrellatura dell'intera superficie. Ciò fatte salve specifiche autorizzazioni in merito da parte del Direttore dell’esecuzione.</w:t>
      </w:r>
    </w:p>
    <w:p>
      <w:pPr>
        <w:pStyle w:val="Normal"/>
        <w:spacing w:before="129" w:after="0"/>
        <w:ind w:hanging="0" w:left="1440"/>
        <w:jc w:val="both"/>
        <w:rPr/>
      </w:pPr>
      <w:r>
        <w:rPr>
          <w:rFonts w:cs="Segoe UI" w:ascii="Segoe UI" w:hAnsi="Segoe UI"/>
          <w:sz w:val="22"/>
          <w:szCs w:val="22"/>
        </w:rPr>
        <w:t>È chiaro quindi che ogni intervento di sfalcio, deve essere sempre integrato con la rimozione del materiale di risulta dello sfalcio medesimo, del suo carico, trasporto e smaltimento alle PP.DD., secondo quanto prescritto dalle norme relative.</w:t>
      </w:r>
    </w:p>
    <w:p>
      <w:pPr>
        <w:pStyle w:val="Normal"/>
        <w:spacing w:before="129" w:after="0"/>
        <w:ind w:hanging="0" w:left="1440"/>
        <w:jc w:val="both"/>
        <w:rPr/>
      </w:pPr>
      <w:r>
        <w:rPr>
          <w:rFonts w:cs="Segoe UI" w:ascii="Segoe UI" w:hAnsi="Segoe UI"/>
          <w:sz w:val="22"/>
          <w:szCs w:val="22"/>
        </w:rPr>
        <w:t>È discrezione del Direttore dell’esecuzione per motivi non prevedibili o legate a manifestazioni particolari, richiedere dei tagli aggiuntivi, con o senza raccolta del materiale di sfalcio, oltre al programma concordato, su aree inserite in appalto oppure su altre aree di proprietà non in elenco o comunque di interesse comunale, fino alla concorrenza del 2% annuo della superficie totale soggetta a sfalcio e proposta in elenco: (superficie totale “Tabella A” x n° tagli annui x 2%). Resta inteso già da ora per allora, che l'onere è compensato nei prezzi a corpo offerti dall'Impresa in sede di gara.</w:t>
      </w:r>
    </w:p>
    <w:p>
      <w:pPr>
        <w:pStyle w:val="Normal"/>
        <w:spacing w:before="129" w:after="0"/>
        <w:ind w:hanging="0" w:left="1440"/>
        <w:jc w:val="both"/>
        <w:rPr/>
      </w:pPr>
      <w:r>
        <w:rPr>
          <w:rFonts w:cs="Segoe UI" w:ascii="Segoe UI" w:hAnsi="Segoe UI"/>
          <w:sz w:val="22"/>
          <w:szCs w:val="22"/>
        </w:rPr>
        <w:t>Le operazioni di sfalcio devono iniziare il giorno stabilito dal programma concordato e dovranno essere portate a termine nel periodo previsto dal crono-programma, salvo condizioni climatiche sfavorevoli.</w:t>
      </w:r>
    </w:p>
    <w:p>
      <w:pPr>
        <w:pStyle w:val="Normal"/>
        <w:spacing w:before="129" w:after="0"/>
        <w:ind w:hanging="0" w:left="1440"/>
        <w:jc w:val="both"/>
        <w:rPr/>
      </w:pPr>
      <w:r>
        <w:rPr>
          <w:rFonts w:cs="Segoe UI" w:ascii="Segoe UI" w:hAnsi="Segoe UI"/>
          <w:b/>
          <w:bCs/>
          <w:sz w:val="22"/>
          <w:szCs w:val="22"/>
        </w:rPr>
        <w:t xml:space="preserve">Dimensionamento della lavorazione: </w:t>
      </w:r>
      <w:r>
        <w:rPr>
          <w:rFonts w:cs="Segoe UI" w:ascii="Segoe UI" w:hAnsi="Segoe UI"/>
          <w:sz w:val="22"/>
          <w:szCs w:val="22"/>
        </w:rPr>
        <w:t>a misura, comprendente nr. 9 tagli completi all’anno, salvo diversa disposizione del DEC.</w:t>
      </w:r>
    </w:p>
    <w:p>
      <w:pPr>
        <w:pStyle w:val="Normal"/>
        <w:spacing w:before="129" w:after="0"/>
        <w:ind w:hanging="0" w:left="1440"/>
        <w:jc w:val="both"/>
        <w:rPr/>
      </w:pPr>
      <w:r>
        <w:rPr>
          <w:rFonts w:cs="Segoe UI" w:ascii="Segoe UI" w:hAnsi="Segoe UI"/>
          <w:b/>
          <w:bCs/>
          <w:sz w:val="22"/>
          <w:szCs w:val="22"/>
        </w:rPr>
        <w:t xml:space="preserve">Per maggiori dettagli tecnici e operativi, si rimanda alla parte 2, </w:t>
      </w:r>
      <w:r>
        <w:rPr>
          <w:rFonts w:cs="Segoe UI" w:ascii="Segoe UI" w:hAnsi="Segoe UI"/>
          <w:b/>
          <w:bCs/>
          <w:i/>
          <w:iCs/>
          <w:sz w:val="22"/>
          <w:szCs w:val="22"/>
        </w:rPr>
        <w:t xml:space="preserve">prescrizioni tecniche </w:t>
      </w:r>
      <w:r>
        <w:rPr>
          <w:rFonts w:cs="Segoe UI" w:ascii="Segoe UI" w:hAnsi="Segoe UI"/>
          <w:b/>
          <w:bCs/>
          <w:sz w:val="22"/>
          <w:szCs w:val="22"/>
        </w:rPr>
        <w:t>del presente Capitolato speciale d’appalto.</w:t>
      </w:r>
    </w:p>
    <w:p>
      <w:pPr>
        <w:pStyle w:val="Normal"/>
        <w:spacing w:before="129" w:after="0"/>
        <w:jc w:val="both"/>
        <w:rPr>
          <w:rFonts w:ascii="Segoe UI" w:hAnsi="Segoe UI" w:cs="Segoe UI"/>
          <w:b/>
          <w:bCs/>
          <w:sz w:val="22"/>
          <w:szCs w:val="22"/>
        </w:rPr>
      </w:pPr>
      <w:r>
        <w:rPr>
          <w:rFonts w:cs="Segoe UI" w:ascii="Segoe UI" w:hAnsi="Segoe UI"/>
          <w:b/>
          <w:bCs/>
          <w:sz w:val="22"/>
          <w:szCs w:val="22"/>
        </w:rPr>
      </w:r>
    </w:p>
    <w:p>
      <w:pPr>
        <w:pStyle w:val="BodyText"/>
        <w:spacing w:before="129" w:after="0"/>
        <w:ind w:hanging="0" w:left="1592"/>
        <w:jc w:val="both"/>
        <w:rPr/>
      </w:pPr>
      <w:r>
        <w:rPr>
          <w:rFonts w:cs="Segoe UI" w:ascii="Segoe UI" w:hAnsi="Segoe UI"/>
          <w:b/>
          <w:bCs/>
          <w:color w:val="C9211E"/>
          <w:sz w:val="24"/>
          <w:szCs w:val="24"/>
        </w:rPr>
        <w:t xml:space="preserve">LAVORAZIONE 2 </w:t>
      </w:r>
      <w:r>
        <w:rPr>
          <w:rFonts w:cs="Segoe UI" w:ascii="Segoe UI" w:hAnsi="Segoe UI"/>
          <w:b/>
          <w:bCs/>
          <w:i/>
          <w:iCs/>
          <w:color w:val="C9211E"/>
          <w:sz w:val="24"/>
          <w:szCs w:val="24"/>
        </w:rPr>
        <w:t>Manutenzione carreggiabili erbose</w:t>
      </w:r>
    </w:p>
    <w:p>
      <w:pPr>
        <w:pStyle w:val="BodyText"/>
        <w:spacing w:before="129" w:after="0"/>
        <w:ind w:hanging="0" w:left="1592"/>
        <w:jc w:val="both"/>
        <w:rPr/>
      </w:pPr>
      <w:r>
        <w:rPr>
          <w:rFonts w:cs="Segoe UI" w:ascii="Segoe UI" w:hAnsi="Segoe UI"/>
          <w:b/>
          <w:bCs/>
        </w:rPr>
        <w:t>Mantenimento delle carreggiabili erbose</w:t>
      </w:r>
      <w:r>
        <w:rPr>
          <w:rFonts w:cs="Segoe UI" w:ascii="Segoe UI" w:hAnsi="Segoe UI"/>
        </w:rPr>
        <w:t xml:space="preserve"> a mezzo sfalcio, con taglio dell’erba negli stalli di parcheggio, rifilatura dei cigli e dei marciapiedi tangenti esterni ed interni alle zone verdi, raccolta, carico e smaltimento di tutto il materiale vegetale e non vegetale (rifiuti di vario tipo) presente nelle aree indicate nell’Allegato A2 e graficamente censite nell’Allegato A1.A.</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da marzo a novembre compreso, per ogni annualità.</w:t>
      </w:r>
    </w:p>
    <w:p>
      <w:pPr>
        <w:pStyle w:val="BodyText"/>
        <w:spacing w:before="129" w:after="0"/>
        <w:ind w:hanging="0" w:left="1592"/>
        <w:jc w:val="both"/>
        <w:rPr/>
      </w:pPr>
      <w:r>
        <w:rPr>
          <w:rFonts w:cs="Segoe UI" w:ascii="Segoe UI" w:hAnsi="Segoe UI"/>
          <w:b/>
          <w:bCs/>
        </w:rPr>
        <w:t>Periodicità:</w:t>
      </w:r>
      <w:r>
        <w:rPr>
          <w:rFonts w:cs="Segoe UI" w:ascii="Segoe UI" w:hAnsi="Segoe UI"/>
        </w:rPr>
        <w:t xml:space="preserve"> secondo il crono-programma annuale concordato con il Direttore dell’esecuzione prima dell’inizio delle operazioni di taglio.</w:t>
      </w:r>
    </w:p>
    <w:p>
      <w:pPr>
        <w:pStyle w:val="BodyText"/>
        <w:spacing w:before="129" w:after="0"/>
        <w:ind w:hanging="0" w:left="1592"/>
        <w:jc w:val="both"/>
        <w:rPr/>
      </w:pPr>
      <w:r>
        <w:rPr>
          <w:rFonts w:cs="Segoe UI" w:ascii="Segoe UI" w:hAnsi="Segoe UI"/>
          <w:b/>
          <w:bCs/>
        </w:rPr>
        <w:t>Modalità operative:</w:t>
      </w:r>
      <w:r>
        <w:rPr>
          <w:rFonts w:cs="Segoe UI" w:ascii="Segoe UI" w:hAnsi="Segoe UI"/>
        </w:rPr>
        <w:t xml:space="preserve"> l’intervento comporta la tradizionale operazione di taglio dell'erba che deve porsi come obiettivo la totale fruibilità della carreggiata erbosa.</w:t>
      </w:r>
    </w:p>
    <w:p>
      <w:pPr>
        <w:pStyle w:val="BodyText"/>
        <w:spacing w:before="129" w:after="0"/>
        <w:ind w:hanging="0" w:left="1592"/>
        <w:jc w:val="both"/>
        <w:rPr/>
      </w:pPr>
      <w:r>
        <w:rPr>
          <w:rFonts w:cs="Segoe UI" w:ascii="Segoe UI" w:hAnsi="Segoe UI"/>
        </w:rPr>
        <w:t>Tale operazione deve perciò essere eseguita con le modalità dettate dalla buona tecnica agraria in modo tale da contenere lo sviluppo eccessivo dell’erba nello stallo e lungo i cordoli di contenimento.</w:t>
      </w:r>
    </w:p>
    <w:p>
      <w:pPr>
        <w:pStyle w:val="BodyText"/>
        <w:spacing w:before="129" w:after="0"/>
        <w:ind w:hanging="0" w:left="1592"/>
        <w:jc w:val="both"/>
        <w:rPr/>
      </w:pPr>
      <w:r>
        <w:rPr>
          <w:rFonts w:cs="Segoe UI" w:ascii="Segoe UI" w:hAnsi="Segoe UI"/>
        </w:rPr>
        <w:t>Tempi e periodicità delle operazioni di sfalcio verranno definiti dal programma delle operazioni di sfalcio concordate con il Direttore dell’esecuzione e l’impresa avrà cura di provvedere all'intervento secondo la buona regola dell’arte.</w:t>
      </w:r>
    </w:p>
    <w:p>
      <w:pPr>
        <w:pStyle w:val="BodyText"/>
        <w:spacing w:before="129" w:after="0"/>
        <w:ind w:hanging="0" w:left="1592"/>
        <w:jc w:val="both"/>
        <w:rPr/>
      </w:pPr>
      <w:r>
        <w:rPr>
          <w:rFonts w:cs="Segoe UI" w:ascii="Segoe UI" w:hAnsi="Segoe UI"/>
        </w:rPr>
        <w:t>L'appaltatore asporterà nel più breve tempo possibile e in ogni caso entro le ventiquattro ore i materiali di risulta dello sfalcio e quanto recuperato dalla accurata rastrellatura dell'intera superficie. Ciò fatte salve specifiche autorizzazioni in merito da parte del Direttore dell’esecuzione.</w:t>
      </w:r>
    </w:p>
    <w:p>
      <w:pPr>
        <w:pStyle w:val="BodyText"/>
        <w:spacing w:before="129" w:after="0"/>
        <w:ind w:hanging="0" w:left="1592"/>
        <w:jc w:val="both"/>
        <w:rPr/>
      </w:pPr>
      <w:r>
        <w:rPr>
          <w:rFonts w:cs="Segoe UI" w:ascii="Segoe UI" w:hAnsi="Segoe UI"/>
        </w:rPr>
        <w:t>È chiaro quindi che ogni intervento di sfalcio, deve essere sempre integrato con la rimozione del materiale di risulta dello sfalcio medesimo, secondo quanto prescritto dalle norme relative.</w:t>
      </w:r>
    </w:p>
    <w:p>
      <w:pPr>
        <w:pStyle w:val="BodyText"/>
        <w:spacing w:before="129" w:after="0"/>
        <w:ind w:hanging="0" w:left="1592"/>
        <w:jc w:val="both"/>
        <w:rPr/>
      </w:pPr>
      <w:r>
        <w:rPr>
          <w:rFonts w:cs="Segoe UI" w:ascii="Segoe UI" w:hAnsi="Segoe UI"/>
        </w:rPr>
        <w:t>L'intervento dovrà effettuarsi con macchine operatrici ad asse rotante (verticale od orizzontale) e decespugliatori.</w:t>
      </w:r>
    </w:p>
    <w:p>
      <w:pPr>
        <w:pStyle w:val="BodyText"/>
        <w:spacing w:before="129" w:after="0"/>
        <w:ind w:hanging="0" w:left="1592"/>
        <w:jc w:val="both"/>
        <w:rPr/>
      </w:pPr>
      <w:r>
        <w:rPr>
          <w:rFonts w:cs="Segoe UI" w:ascii="Segoe UI" w:hAnsi="Segoe UI"/>
        </w:rPr>
        <w:t>Non dovranno perciò ritrovarsi, al termine di ogni intervento di sfalcio, andane, cumuli, depositi di materiale vegetale né sui prati, né sulle aiuole e bordure ecc., né nelle zone a copertura inerte. L'erba proveniente dalle operazioni di decespugliamento dovrà essere sempre e in ogni modo asportata.</w:t>
      </w:r>
    </w:p>
    <w:p>
      <w:pPr>
        <w:pStyle w:val="BodyText"/>
        <w:spacing w:before="129" w:after="0"/>
        <w:ind w:hanging="0" w:left="1592"/>
        <w:jc w:val="both"/>
        <w:rPr/>
      </w:pPr>
      <w:r>
        <w:rPr>
          <w:rFonts w:cs="Segoe UI" w:ascii="Segoe UI" w:hAnsi="Segoe UI"/>
        </w:rPr>
        <w:t>Trattandosi per lo più di aree adibite a parcheggio, le operazioni di sfalcio dovranno essere eseguiti nei giorni utili quando si ha la più ampia disponibilità dell’area, cioè, l’Impresa dovrà operare nei giorni di pulizia strade dove è possibile, oppure nella giornata di sabato e/o nei giorni dove la presenza di auto non intralci le operazioni di sfalcio.</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b w:val="false"/>
          <w:bCs w:val="false"/>
          <w:sz w:val="22"/>
          <w:szCs w:val="22"/>
        </w:rPr>
        <w:t>a misura, comprendente nr. 4 tagli completi all’anno, salvo diversa disposizione del DEC.</w:t>
      </w:r>
    </w:p>
    <w:p>
      <w:pPr>
        <w:pStyle w:val="Normal"/>
        <w:spacing w:before="129" w:after="0"/>
        <w:ind w:hanging="0" w:left="1560"/>
        <w:jc w:val="both"/>
        <w:rPr/>
      </w:pPr>
      <w:r>
        <w:rPr>
          <w:rFonts w:cs="Segoe UI" w:ascii="Segoe UI" w:hAnsi="Segoe UI"/>
          <w:b/>
          <w:bCs/>
          <w:sz w:val="22"/>
          <w:szCs w:val="22"/>
        </w:rPr>
        <w:t xml:space="preserve">Per maggiori dettagli tecnici e operativi, si rimanda alla parte 2, </w:t>
      </w:r>
      <w:r>
        <w:rPr>
          <w:rFonts w:cs="Segoe UI" w:ascii="Segoe UI" w:hAnsi="Segoe UI"/>
          <w:b/>
          <w:bCs/>
          <w:i/>
          <w:iCs/>
          <w:sz w:val="22"/>
          <w:szCs w:val="22"/>
        </w:rPr>
        <w:t xml:space="preserve">prescrizioni tecniche </w:t>
      </w:r>
      <w:r>
        <w:rPr>
          <w:rFonts w:cs="Segoe UI" w:ascii="Segoe UI" w:hAnsi="Segoe UI"/>
          <w:b/>
          <w:bCs/>
          <w:sz w:val="22"/>
          <w:szCs w:val="22"/>
        </w:rPr>
        <w:t>del presente Capitolato speciale d’appalto.</w:t>
      </w:r>
    </w:p>
    <w:p>
      <w:pPr>
        <w:pStyle w:val="Normal"/>
        <w:spacing w:before="129" w:after="0"/>
        <w:ind w:hanging="0" w:left="2520"/>
        <w:jc w:val="both"/>
        <w:rPr>
          <w:rFonts w:ascii="Segoe UI" w:hAnsi="Segoe UI" w:cs="Segoe UI"/>
          <w:b/>
          <w:bCs/>
          <w:sz w:val="22"/>
          <w:szCs w:val="22"/>
        </w:rPr>
      </w:pPr>
      <w:r>
        <w:rPr>
          <w:rFonts w:cs="Segoe UI" w:ascii="Segoe UI" w:hAnsi="Segoe UI"/>
          <w:b/>
          <w:bCs/>
          <w:sz w:val="22"/>
          <w:szCs w:val="22"/>
        </w:rPr>
      </w:r>
    </w:p>
    <w:p>
      <w:pPr>
        <w:pStyle w:val="BodyText"/>
        <w:spacing w:before="129" w:after="0"/>
        <w:ind w:hanging="0" w:left="1592"/>
        <w:jc w:val="both"/>
        <w:rPr/>
      </w:pPr>
      <w:r>
        <w:rPr>
          <w:rFonts w:cs="Segoe UI" w:ascii="Segoe UI" w:hAnsi="Segoe UI"/>
          <w:b/>
          <w:bCs/>
          <w:color w:val="C9211E"/>
          <w:sz w:val="24"/>
          <w:szCs w:val="24"/>
        </w:rPr>
        <w:t xml:space="preserve">LAVORAZIONE 3 </w:t>
      </w:r>
      <w:r>
        <w:rPr>
          <w:rFonts w:cs="Segoe UI" w:ascii="Segoe UI" w:hAnsi="Segoe UI"/>
          <w:b/>
          <w:bCs/>
          <w:i/>
          <w:iCs/>
          <w:color w:val="C9211E"/>
          <w:sz w:val="24"/>
          <w:szCs w:val="24"/>
        </w:rPr>
        <w:t>Manutenzione delle siepi</w:t>
      </w:r>
    </w:p>
    <w:p>
      <w:pPr>
        <w:pStyle w:val="BodyText"/>
        <w:spacing w:before="129" w:after="0"/>
        <w:ind w:hanging="0" w:left="1592"/>
        <w:jc w:val="both"/>
        <w:rPr/>
      </w:pPr>
      <w:r>
        <w:rPr>
          <w:rFonts w:cs="Segoe UI" w:ascii="Segoe UI" w:hAnsi="Segoe UI"/>
          <w:b/>
          <w:bCs/>
        </w:rPr>
        <w:t>Manutenzione delle siepi:</w:t>
      </w:r>
      <w:r>
        <w:rPr>
          <w:rFonts w:cs="Segoe UI" w:ascii="Segoe UI" w:hAnsi="Segoe UI"/>
        </w:rPr>
        <w:t xml:space="preserve"> potatura di siepi sui tre lati in forma libera, intervento completo e comprensivo di ogni attrezzo, attrezzatura, mezzo meccanico necessario, nonché di raccolta, carico, trasporto, conferimento e smaltimento materiale di risulta: siepi di qualsiasi altezza e larghezza indicate nell’allegato A4.</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da febbraio a novembre.</w:t>
      </w:r>
    </w:p>
    <w:p>
      <w:pPr>
        <w:pStyle w:val="BodyText"/>
        <w:spacing w:before="129" w:after="0"/>
        <w:ind w:hanging="0" w:left="1592"/>
        <w:jc w:val="both"/>
        <w:rPr/>
      </w:pPr>
      <w:r>
        <w:rPr>
          <w:rFonts w:cs="Segoe UI" w:ascii="Segoe UI" w:hAnsi="Segoe UI"/>
          <w:b/>
          <w:bCs/>
        </w:rPr>
        <w:t xml:space="preserve">Periodicità: </w:t>
      </w:r>
    </w:p>
    <w:p>
      <w:pPr>
        <w:pStyle w:val="BodyText"/>
        <w:spacing w:before="129" w:after="0"/>
        <w:ind w:hanging="0" w:left="1592"/>
        <w:jc w:val="both"/>
        <w:rPr/>
      </w:pPr>
      <w:r>
        <w:rPr>
          <w:rFonts w:eastAsia="Segoe UI" w:cs="Segoe UI" w:ascii="Segoe UI" w:hAnsi="Segoe UI"/>
        </w:rPr>
        <w:t xml:space="preserve"> </w:t>
      </w:r>
      <w:r>
        <w:rPr>
          <w:rFonts w:cs="Segoe UI" w:ascii="Segoe UI" w:hAnsi="Segoe UI"/>
        </w:rPr>
        <w:t>- n° 1 intervento invernale e/o autunnale, prima o dopo la stagione di riposo vegetativo;</w:t>
      </w:r>
    </w:p>
    <w:p>
      <w:pPr>
        <w:pStyle w:val="BodyText"/>
        <w:spacing w:before="129" w:after="0"/>
        <w:ind w:hanging="0" w:left="1592"/>
        <w:jc w:val="both"/>
        <w:rPr/>
      </w:pPr>
      <w:r>
        <w:rPr>
          <w:rFonts w:eastAsia="Segoe UI" w:cs="Segoe UI" w:ascii="Segoe UI" w:hAnsi="Segoe UI"/>
        </w:rPr>
        <w:t xml:space="preserve"> </w:t>
      </w:r>
      <w:r>
        <w:rPr>
          <w:rFonts w:cs="Segoe UI" w:ascii="Segoe UI" w:hAnsi="Segoe UI"/>
        </w:rPr>
        <w:t>- n° 1 intervento primaverile e/o estivo dopo la fioritura.</w:t>
      </w:r>
    </w:p>
    <w:p>
      <w:pPr>
        <w:pStyle w:val="BodyText"/>
        <w:spacing w:before="129" w:after="0"/>
        <w:ind w:hanging="0" w:left="1592"/>
        <w:jc w:val="both"/>
        <w:rPr/>
      </w:pPr>
      <w:r>
        <w:rPr>
          <w:rFonts w:cs="Segoe UI" w:ascii="Segoe UI" w:hAnsi="Segoe UI"/>
        </w:rPr>
        <w:t>Salvo diversa disposizione del DEC.</w:t>
      </w:r>
    </w:p>
    <w:p>
      <w:pPr>
        <w:pStyle w:val="BodyText"/>
        <w:spacing w:before="129" w:after="0"/>
        <w:ind w:hanging="0" w:left="1592"/>
        <w:jc w:val="both"/>
        <w:rPr/>
      </w:pPr>
      <w:r>
        <w:rPr>
          <w:rFonts w:cs="Segoe UI" w:ascii="Segoe UI" w:hAnsi="Segoe UI"/>
          <w:b/>
          <w:bCs/>
        </w:rPr>
        <w:t>Modalità operative:</w:t>
      </w:r>
      <w:r>
        <w:rPr>
          <w:rFonts w:cs="Segoe UI" w:ascii="Segoe UI" w:hAnsi="Segoe UI"/>
        </w:rPr>
        <w:t xml:space="preserve"> si rimanda alla parte 2, prescrizioni tecniche del presente Capitolato speciale d’appalto.</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misura,</w:t>
      </w:r>
      <w:r>
        <w:rPr>
          <w:rFonts w:cs="Segoe UI" w:ascii="Segoe UI" w:hAnsi="Segoe UI"/>
          <w:b/>
          <w:bCs/>
        </w:rPr>
        <w:t xml:space="preserve"> </w:t>
      </w:r>
      <w:r>
        <w:rPr>
          <w:rFonts w:cs="Segoe UI" w:ascii="Segoe UI" w:hAnsi="Segoe UI"/>
        </w:rPr>
        <w:t xml:space="preserve">comprendente nr. 2 tagli </w:t>
      </w:r>
    </w:p>
    <w:p>
      <w:pPr>
        <w:pStyle w:val="BodyText"/>
        <w:spacing w:before="129" w:after="0"/>
        <w:ind w:hanging="0" w:left="1592"/>
        <w:jc w:val="both"/>
        <w:rPr/>
      </w:pPr>
      <w:r>
        <w:rPr>
          <w:rFonts w:cs="Segoe UI" w:ascii="Segoe UI" w:hAnsi="Segoe UI"/>
        </w:rPr>
        <w:t>completi all’anno.</w:t>
      </w:r>
    </w:p>
    <w:p>
      <w:pPr>
        <w:pStyle w:val="BodyText"/>
        <w:spacing w:before="129" w:after="0"/>
        <w:ind w:hanging="0" w:left="1592"/>
        <w:jc w:val="both"/>
        <w:rPr/>
      </w:pPr>
      <w:r>
        <w:rPr>
          <w:rFonts w:cs="Segoe UI" w:ascii="Segoe UI" w:hAnsi="Segoe UI"/>
        </w:rPr>
        <w:t>In caso di necessità dovute ad eventi non prevedibili, a manifestazioni o ricorrenze, il Direttore dell’esecuzione potrà chiedere tagli aggiuntivi in modo localizzato e non generalizzato, per una lunghezza pari al 5% della lunghezza totale come da allegato A4, per un numero illimitato di interventi. Il conseguente onere si intende compreso nell’importo offerto in sede di gara dall’impresa partecipante.</w:t>
      </w:r>
    </w:p>
    <w:p>
      <w:pPr>
        <w:pStyle w:val="BodyText"/>
        <w:spacing w:before="129" w:after="0"/>
        <w:ind w:hanging="0" w:left="1592"/>
        <w:jc w:val="both"/>
        <w:rPr>
          <w:rFonts w:ascii="Segoe UI" w:hAnsi="Segoe UI" w:cs="Segoe UI"/>
          <w:b/>
          <w:bCs/>
          <w:color w:val="C9211E"/>
          <w:sz w:val="24"/>
          <w:szCs w:val="24"/>
        </w:rPr>
      </w:pPr>
      <w:r>
        <w:rPr>
          <w:rFonts w:cs="Segoe UI" w:ascii="Segoe UI" w:hAnsi="Segoe UI"/>
          <w:b/>
          <w:bCs/>
          <w:color w:val="C9211E"/>
          <w:sz w:val="24"/>
          <w:szCs w:val="24"/>
        </w:rPr>
      </w:r>
    </w:p>
    <w:p>
      <w:pPr>
        <w:pStyle w:val="BodyText"/>
        <w:spacing w:before="129" w:after="0"/>
        <w:ind w:hanging="0" w:left="1592"/>
        <w:jc w:val="both"/>
        <w:rPr/>
      </w:pPr>
      <w:r>
        <w:rPr>
          <w:rFonts w:cs="Segoe UI" w:ascii="Segoe UI" w:hAnsi="Segoe UI"/>
          <w:b/>
          <w:bCs/>
          <w:color w:val="C9211E"/>
          <w:sz w:val="24"/>
          <w:szCs w:val="24"/>
        </w:rPr>
        <w:t>LAVORAZIONE 4</w:t>
      </w:r>
      <w:r>
        <w:rPr>
          <w:rFonts w:cs="Segoe UI" w:ascii="Segoe UI" w:hAnsi="Segoe UI"/>
          <w:b/>
          <w:bCs/>
          <w:i/>
          <w:iCs/>
          <w:color w:val="C9211E"/>
          <w:sz w:val="24"/>
          <w:szCs w:val="24"/>
        </w:rPr>
        <w:t xml:space="preserve"> Manutenzione degli arbusti</w:t>
      </w:r>
    </w:p>
    <w:p>
      <w:pPr>
        <w:pStyle w:val="BodyText"/>
        <w:spacing w:before="129" w:after="0"/>
        <w:ind w:hanging="0" w:left="1592"/>
        <w:jc w:val="both"/>
        <w:rPr/>
      </w:pPr>
      <w:r>
        <w:rPr>
          <w:rFonts w:cs="Segoe UI" w:ascii="Segoe UI" w:hAnsi="Segoe UI"/>
          <w:b/>
          <w:bCs/>
        </w:rPr>
        <w:t>Manutenzione degli arbusti:</w:t>
      </w:r>
      <w:r>
        <w:rPr>
          <w:rFonts w:cs="Segoe UI" w:ascii="Segoe UI" w:hAnsi="Segoe UI"/>
        </w:rPr>
        <w:t xml:space="preserve"> contenimento a mezzo potatura e relative opere colturali complementari.</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costante per ogni annualità.</w:t>
      </w:r>
    </w:p>
    <w:p>
      <w:pPr>
        <w:pStyle w:val="BodyText"/>
        <w:spacing w:before="129" w:after="0"/>
        <w:ind w:hanging="0" w:left="1592"/>
        <w:jc w:val="both"/>
        <w:rPr/>
      </w:pPr>
      <w:r>
        <w:rPr>
          <w:rFonts w:cs="Segoe UI" w:ascii="Segoe UI" w:hAnsi="Segoe UI"/>
          <w:b/>
          <w:bCs/>
        </w:rPr>
        <w:t xml:space="preserve">Periodicità: </w:t>
      </w:r>
      <w:r>
        <w:rPr>
          <w:rFonts w:cs="Segoe UI" w:ascii="Segoe UI" w:hAnsi="Segoe UI"/>
        </w:rPr>
        <w:t>secondo il cronoprogramma stabilito con il Supervisore del servizio.</w:t>
      </w:r>
    </w:p>
    <w:p>
      <w:pPr>
        <w:pStyle w:val="BodyText"/>
        <w:spacing w:before="129" w:after="0"/>
        <w:ind w:hanging="0" w:left="1592"/>
        <w:jc w:val="both"/>
        <w:rPr/>
      </w:pPr>
      <w:r>
        <w:rPr>
          <w:rFonts w:cs="Segoe UI" w:ascii="Segoe UI" w:hAnsi="Segoe UI"/>
          <w:b/>
          <w:bCs/>
        </w:rPr>
        <w:t xml:space="preserve">Tipologia: </w:t>
      </w:r>
      <w:r>
        <w:rPr>
          <w:rFonts w:cs="Segoe UI" w:ascii="Segoe UI" w:hAnsi="Segoe UI"/>
        </w:rPr>
        <w:t>singolo, a macchia.</w:t>
      </w:r>
    </w:p>
    <w:p>
      <w:pPr>
        <w:pStyle w:val="BodyText"/>
        <w:spacing w:before="129" w:after="0"/>
        <w:ind w:hanging="0" w:left="1592"/>
        <w:jc w:val="both"/>
        <w:rPr/>
      </w:pPr>
      <w:r>
        <w:rPr>
          <w:rFonts w:cs="Segoe UI" w:ascii="Segoe UI" w:hAnsi="Segoe UI"/>
          <w:b/>
          <w:bCs/>
        </w:rPr>
        <w:t>Modalità operative:</w:t>
      </w:r>
      <w:r>
        <w:rPr>
          <w:rFonts w:cs="Segoe UI" w:ascii="Segoe UI" w:hAnsi="Segoe UI"/>
        </w:rPr>
        <w:t xml:space="preserve">  la potatura dei cespugli consiste in una selezione e mantenimento dei rami più giovani e nella eliminazione di quelli più vecchi mantenendo la forma propria dell'arbusto.</w:t>
      </w:r>
    </w:p>
    <w:p>
      <w:pPr>
        <w:pStyle w:val="BodyText"/>
        <w:spacing w:before="129" w:after="0"/>
        <w:ind w:hanging="0" w:left="1592"/>
        <w:jc w:val="both"/>
        <w:rPr/>
      </w:pPr>
      <w:r>
        <w:rPr>
          <w:rFonts w:cs="Segoe UI" w:ascii="Segoe UI" w:hAnsi="Segoe UI"/>
        </w:rPr>
        <w:t>In ogni caso è vietato all'impresa effettuare interventi cesori atti a trasformare stabilmente cespugli e macchioni di specie decidua in elementi vegetali a forma geometrica definita se non previa approvazione del Direttore dell’esecuzione.</w:t>
      </w:r>
    </w:p>
    <w:p>
      <w:pPr>
        <w:pStyle w:val="BodyText"/>
        <w:spacing w:before="129" w:after="0"/>
        <w:ind w:hanging="0" w:left="1592"/>
        <w:jc w:val="both"/>
        <w:rPr/>
      </w:pPr>
      <w:r>
        <w:rPr>
          <w:rFonts w:cs="Segoe UI" w:ascii="Segoe UI" w:hAnsi="Segoe UI"/>
        </w:rPr>
        <w:t>È similmente vietato all'impresa effettuare drastiche riduzioni, praticando tagli sul vecchio, di cespugli e macchioni se non previa approvazione del Direttore dell’esecuzione.</w:t>
      </w:r>
    </w:p>
    <w:p>
      <w:pPr>
        <w:pStyle w:val="BodyText"/>
        <w:spacing w:before="129" w:after="0"/>
        <w:ind w:hanging="0" w:left="1592"/>
        <w:jc w:val="both"/>
        <w:rPr/>
      </w:pPr>
      <w:r>
        <w:rPr>
          <w:rFonts w:cs="Segoe UI" w:ascii="Segoe UI" w:hAnsi="Segoe UI"/>
        </w:rPr>
        <w:t>Il lavoro dovrà presentarsi accurato e completo. Il materiale di risulta dovrà asportarsi in giornata e conferito presso discarica autorizzata.</w:t>
      </w:r>
    </w:p>
    <w:p>
      <w:pPr>
        <w:pStyle w:val="BodyText"/>
        <w:spacing w:before="129" w:after="0"/>
        <w:ind w:hanging="0" w:left="1592"/>
        <w:jc w:val="both"/>
        <w:rPr/>
      </w:pPr>
      <w:r>
        <w:rPr>
          <w:rFonts w:cs="Segoe UI" w:ascii="Segoe UI" w:hAnsi="Segoe UI"/>
        </w:rPr>
        <w:t>L'impresa potrà, a sua cura e spese, usare i mezzi che riterrà opportuno (forbici, forbicioni, ecc.) purché ciò permetta una regolare e perfetta esecuzione dei lavori provocando il minimo necessario di lesioni e ferite alle piante. Ciò significa che per specie ad ampio lembo fogliare (es. Prunus laurocerasus), l'uso di tosasiepi a pettine non è ammesso per i danni che esso provoca ai lembi fogliari.</w:t>
      </w:r>
    </w:p>
    <w:p>
      <w:pPr>
        <w:pStyle w:val="BodyText"/>
        <w:spacing w:before="129" w:after="0"/>
        <w:ind w:hanging="0" w:left="1592"/>
        <w:jc w:val="both"/>
        <w:rPr/>
      </w:pPr>
      <w:r>
        <w:rPr>
          <w:rFonts w:cs="Segoe UI" w:ascii="Segoe UI" w:hAnsi="Segoe UI"/>
        </w:rPr>
        <w:t>Per maggiori dettagli tecnici e operativi, si rimanda alla parte 2, prescrizioni tecniche del presente Capitolato speciale d’appalto.</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corpo per un numero illimitato di interventi annui.</w:t>
      </w:r>
    </w:p>
    <w:p>
      <w:pPr>
        <w:pStyle w:val="BodyText"/>
        <w:spacing w:before="129" w:after="0"/>
        <w:ind w:hanging="0" w:left="1592"/>
        <w:jc w:val="both"/>
        <w:rPr>
          <w:rFonts w:ascii="Segoe UI" w:hAnsi="Segoe UI" w:cs="Segoe UI"/>
        </w:rPr>
      </w:pPr>
      <w:r>
        <w:rPr>
          <w:rFonts w:cs="Segoe UI" w:ascii="Segoe UI" w:hAnsi="Segoe UI"/>
        </w:rPr>
      </w:r>
    </w:p>
    <w:p>
      <w:pPr>
        <w:pStyle w:val="BodyText"/>
        <w:spacing w:before="129" w:after="0"/>
        <w:ind w:hanging="0" w:left="1592"/>
        <w:jc w:val="both"/>
        <w:rPr/>
      </w:pPr>
      <w:r>
        <w:rPr>
          <w:rFonts w:cs="Segoe UI" w:ascii="Segoe UI" w:hAnsi="Segoe UI"/>
          <w:b/>
          <w:bCs/>
          <w:color w:val="C9211E"/>
          <w:sz w:val="24"/>
          <w:szCs w:val="24"/>
        </w:rPr>
        <w:t>LAVORAZIONE 5</w:t>
      </w:r>
      <w:r>
        <w:rPr>
          <w:rFonts w:cs="Segoe UI" w:ascii="Segoe UI" w:hAnsi="Segoe UI"/>
          <w:b/>
          <w:bCs/>
          <w:i/>
          <w:iCs/>
          <w:color w:val="C9211E"/>
          <w:sz w:val="24"/>
          <w:szCs w:val="24"/>
        </w:rPr>
        <w:t xml:space="preserve"> Potatura annuale/biennale “pollarding” tigli quartiere Satellite</w:t>
      </w:r>
    </w:p>
    <w:p>
      <w:pPr>
        <w:pStyle w:val="BodyText"/>
        <w:spacing w:before="129" w:after="0"/>
        <w:ind w:hanging="0" w:left="1592"/>
        <w:jc w:val="both"/>
        <w:rPr/>
      </w:pPr>
      <w:r>
        <w:rPr>
          <w:rFonts w:cs="Segoe UI" w:ascii="Segoe UI" w:hAnsi="Segoe UI"/>
          <w:b/>
          <w:bCs/>
        </w:rPr>
        <w:t>Tigli quartiere Satellite:</w:t>
      </w:r>
      <w:r>
        <w:rPr>
          <w:rFonts w:cs="Segoe UI" w:ascii="Segoe UI" w:hAnsi="Segoe UI"/>
        </w:rPr>
        <w:t xml:space="preserve"> potatura di contenimento della chioma.</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n° 1 intervento annuo.</w:t>
      </w:r>
    </w:p>
    <w:p>
      <w:pPr>
        <w:pStyle w:val="BodyText"/>
        <w:spacing w:before="129" w:after="0"/>
        <w:ind w:hanging="0" w:left="1592"/>
        <w:jc w:val="both"/>
        <w:rPr/>
      </w:pPr>
      <w:r>
        <w:rPr>
          <w:rFonts w:cs="Segoe UI" w:ascii="Segoe UI" w:hAnsi="Segoe UI"/>
          <w:b/>
          <w:bCs/>
        </w:rPr>
        <w:t xml:space="preserve">Periodicità: </w:t>
      </w:r>
      <w:r>
        <w:rPr>
          <w:rFonts w:cs="Segoe UI" w:ascii="Segoe UI" w:hAnsi="Segoe UI"/>
        </w:rPr>
        <w:t>secondo il cronoprogramma stabilito con il Supervisore del servizio.</w:t>
      </w:r>
    </w:p>
    <w:p>
      <w:pPr>
        <w:pStyle w:val="BodyText"/>
        <w:spacing w:before="129" w:after="0"/>
        <w:ind w:hanging="0" w:left="1592"/>
        <w:jc w:val="both"/>
        <w:rPr/>
      </w:pPr>
      <w:r>
        <w:rPr>
          <w:rFonts w:cs="Segoe UI" w:ascii="Segoe UI" w:hAnsi="Segoe UI"/>
          <w:b/>
          <w:bCs/>
        </w:rPr>
        <w:t>Modalità operative:</w:t>
      </w:r>
      <w:r>
        <w:rPr>
          <w:rFonts w:cs="Segoe UI" w:ascii="Segoe UI" w:hAnsi="Segoe UI"/>
        </w:rPr>
        <w:t xml:space="preserve">  l’intervento prevede il contenimento degli esemplari posti sui marciapiedi perimetralmente agli edifici, con riduzione della chioma mediante tecnica cosiddetta a “pollarding” e comprende la totale eliminazione di rami al castello e lungo il fusto nonché un eventuale intervento di spollonatura.</w:t>
      </w:r>
    </w:p>
    <w:p>
      <w:pPr>
        <w:pStyle w:val="BodyText"/>
        <w:spacing w:before="129" w:after="0"/>
        <w:ind w:hanging="0" w:left="1592"/>
        <w:jc w:val="both"/>
        <w:rPr/>
      </w:pPr>
      <w:r>
        <w:rPr>
          <w:rFonts w:cs="Segoe UI" w:ascii="Segoe UI" w:hAnsi="Segoe UI"/>
        </w:rPr>
        <w:t>Per maggiori dettagli tecnici e operativi, si rimanda alla parte 2, prescrizioni tecniche del presente Capitolato speciale d’appalto.</w:t>
      </w:r>
    </w:p>
    <w:p>
      <w:pPr>
        <w:pStyle w:val="BodyText"/>
        <w:spacing w:before="129" w:after="0"/>
        <w:ind w:hanging="0" w:left="1592"/>
        <w:jc w:val="both"/>
        <w:rPr/>
      </w:pPr>
      <w:r>
        <w:rPr>
          <w:rFonts w:cs="Segoe UI" w:ascii="Segoe UI" w:hAnsi="Segoe UI"/>
        </w:rPr>
        <w:t>Le vie interessate sono le seguenti:</w:t>
      </w:r>
    </w:p>
    <w:p>
      <w:pPr>
        <w:pStyle w:val="BodyText"/>
        <w:numPr>
          <w:ilvl w:val="0"/>
          <w:numId w:val="9"/>
        </w:numPr>
        <w:spacing w:before="129" w:after="0"/>
        <w:jc w:val="both"/>
        <w:rPr/>
      </w:pPr>
      <w:r>
        <w:rPr>
          <w:rFonts w:cs="Segoe UI" w:ascii="Segoe UI" w:hAnsi="Segoe UI"/>
        </w:rPr>
        <w:t>Via Mozart nel tratto da Via Puccini a Via Cilea;</w:t>
      </w:r>
    </w:p>
    <w:p>
      <w:pPr>
        <w:pStyle w:val="BodyText"/>
        <w:numPr>
          <w:ilvl w:val="0"/>
          <w:numId w:val="9"/>
        </w:numPr>
        <w:spacing w:before="129" w:after="0"/>
        <w:jc w:val="both"/>
        <w:rPr/>
      </w:pPr>
      <w:r>
        <w:rPr>
          <w:rFonts w:cs="Segoe UI" w:ascii="Segoe UI" w:hAnsi="Segoe UI"/>
        </w:rPr>
        <w:t>Via Puccini;</w:t>
      </w:r>
    </w:p>
    <w:p>
      <w:pPr>
        <w:pStyle w:val="BodyText"/>
        <w:numPr>
          <w:ilvl w:val="0"/>
          <w:numId w:val="9"/>
        </w:numPr>
        <w:spacing w:before="129" w:after="0"/>
        <w:jc w:val="both"/>
        <w:rPr/>
      </w:pPr>
      <w:r>
        <w:rPr>
          <w:rFonts w:cs="Segoe UI" w:ascii="Segoe UI" w:hAnsi="Segoe UI"/>
        </w:rPr>
        <w:t>Via Bellini nel tratto tra Via Puccini e Via Cimarosa;</w:t>
      </w:r>
    </w:p>
    <w:p>
      <w:pPr>
        <w:pStyle w:val="BodyText"/>
        <w:numPr>
          <w:ilvl w:val="0"/>
          <w:numId w:val="9"/>
        </w:numPr>
        <w:spacing w:before="129" w:after="0"/>
        <w:jc w:val="both"/>
        <w:rPr/>
      </w:pPr>
      <w:r>
        <w:rPr>
          <w:rFonts w:cs="Segoe UI" w:ascii="Segoe UI" w:hAnsi="Segoe UI"/>
        </w:rPr>
        <w:t>Via Cilea nel tratto tra Via Bellini e Via Wagner ambo i lati;</w:t>
      </w:r>
    </w:p>
    <w:p>
      <w:pPr>
        <w:pStyle w:val="BodyText"/>
        <w:numPr>
          <w:ilvl w:val="0"/>
          <w:numId w:val="9"/>
        </w:numPr>
        <w:spacing w:before="129" w:after="0"/>
        <w:jc w:val="both"/>
        <w:rPr/>
      </w:pPr>
      <w:r>
        <w:rPr>
          <w:rFonts w:cs="Segoe UI" w:ascii="Segoe UI" w:hAnsi="Segoe UI"/>
        </w:rPr>
        <w:t>Via Wagner nel tratto da Via Cilea a Via Cimarosa;</w:t>
      </w:r>
    </w:p>
    <w:p>
      <w:pPr>
        <w:pStyle w:val="BodyText"/>
        <w:numPr>
          <w:ilvl w:val="0"/>
          <w:numId w:val="9"/>
        </w:numPr>
        <w:spacing w:before="129" w:after="0"/>
        <w:jc w:val="both"/>
        <w:rPr/>
      </w:pPr>
      <w:r>
        <w:rPr>
          <w:rFonts w:cs="Segoe UI" w:ascii="Segoe UI" w:hAnsi="Segoe UI"/>
        </w:rPr>
        <w:t>Via Cimarosa nel tratto tra Via Bellini e Via Wagner, lato nord verso gli edifici.</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misura.</w:t>
      </w:r>
    </w:p>
    <w:p>
      <w:pPr>
        <w:pStyle w:val="BodyText"/>
        <w:spacing w:before="129" w:after="0"/>
        <w:ind w:hanging="0" w:left="1592"/>
        <w:jc w:val="both"/>
        <w:rPr>
          <w:rFonts w:ascii="Segoe UI" w:hAnsi="Segoe UI" w:cs="Segoe UI"/>
          <w:b/>
          <w:bCs/>
          <w:color w:val="C9211E"/>
          <w:sz w:val="24"/>
          <w:szCs w:val="24"/>
        </w:rPr>
      </w:pPr>
      <w:r>
        <w:rPr>
          <w:rFonts w:cs="Segoe UI" w:ascii="Segoe UI" w:hAnsi="Segoe UI"/>
          <w:b/>
          <w:bCs/>
          <w:color w:val="C9211E"/>
          <w:sz w:val="24"/>
          <w:szCs w:val="24"/>
        </w:rPr>
      </w:r>
    </w:p>
    <w:p>
      <w:pPr>
        <w:pStyle w:val="BodyText"/>
        <w:spacing w:before="129" w:after="0"/>
        <w:ind w:hanging="0" w:left="1592"/>
        <w:jc w:val="both"/>
        <w:rPr/>
      </w:pPr>
      <w:r>
        <w:rPr>
          <w:rFonts w:cs="Segoe UI" w:ascii="Segoe UI" w:hAnsi="Segoe UI"/>
          <w:b/>
          <w:bCs/>
          <w:color w:val="C9211E"/>
          <w:sz w:val="24"/>
          <w:szCs w:val="24"/>
        </w:rPr>
        <w:t>LAVORAZIONE 6.1</w:t>
      </w:r>
      <w:r>
        <w:rPr>
          <w:rFonts w:cs="Segoe UI" w:ascii="Segoe UI" w:hAnsi="Segoe UI"/>
          <w:b/>
          <w:bCs/>
          <w:i/>
          <w:iCs/>
          <w:color w:val="C9211E"/>
          <w:sz w:val="24"/>
          <w:szCs w:val="24"/>
        </w:rPr>
        <w:t xml:space="preserve"> Potatura in forma obbligata di alberi sempreverdi</w:t>
      </w:r>
    </w:p>
    <w:p>
      <w:pPr>
        <w:pStyle w:val="BodyText"/>
        <w:spacing w:before="129" w:after="0"/>
        <w:ind w:hanging="0" w:left="1592"/>
        <w:jc w:val="both"/>
        <w:rPr/>
      </w:pPr>
      <w:r>
        <w:rPr>
          <w:rFonts w:cs="Segoe UI" w:ascii="Segoe UI" w:hAnsi="Segoe UI"/>
          <w:b/>
          <w:bCs/>
        </w:rPr>
        <w:t xml:space="preserve">Alberature parchi e giardini viali: </w:t>
      </w:r>
      <w:r>
        <w:rPr>
          <w:rFonts w:cs="Segoe UI" w:ascii="Segoe UI" w:hAnsi="Segoe UI"/>
        </w:rPr>
        <w:t>potatura di contenimento in forma obbligata di alberature sempreverdi (Cupressus, Thuja, Chamaecyparis, Taxus, Ligustrum).</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costante.</w:t>
      </w:r>
    </w:p>
    <w:p>
      <w:pPr>
        <w:pStyle w:val="BodyText"/>
        <w:spacing w:before="129" w:after="0"/>
        <w:ind w:hanging="0" w:left="1592"/>
        <w:jc w:val="both"/>
        <w:rPr/>
      </w:pPr>
      <w:r>
        <w:rPr>
          <w:rFonts w:cs="Segoe UI" w:ascii="Segoe UI" w:hAnsi="Segoe UI"/>
          <w:b/>
          <w:bCs/>
        </w:rPr>
        <w:t xml:space="preserve">Periodicità: </w:t>
      </w:r>
      <w:r>
        <w:rPr>
          <w:rFonts w:cs="Segoe UI" w:ascii="Segoe UI" w:hAnsi="Segoe UI"/>
        </w:rPr>
        <w:t>secondo il cronoprogramma stabilito con il Supervisore del servizio.</w:t>
      </w:r>
    </w:p>
    <w:p>
      <w:pPr>
        <w:pStyle w:val="BodyText"/>
        <w:spacing w:before="129" w:after="0"/>
        <w:ind w:hanging="0" w:left="1592"/>
        <w:jc w:val="both"/>
        <w:rPr/>
      </w:pPr>
      <w:r>
        <w:rPr>
          <w:rFonts w:cs="Segoe UI" w:ascii="Segoe UI" w:hAnsi="Segoe UI"/>
          <w:b/>
          <w:bCs/>
        </w:rPr>
        <w:t>Modalità operative:</w:t>
      </w:r>
      <w:r>
        <w:rPr>
          <w:rFonts w:cs="Segoe UI" w:ascii="Segoe UI" w:hAnsi="Segoe UI"/>
        </w:rPr>
        <w:t xml:space="preserve">  l'intervento prevede n. 1 interventi annui di sagomatura della chioma  mediante taglia siepe al fine di ottenere la forma obbligata, qualunque essa sia, seguendo la geometria precedentemente impostata oppure di nuova formazione, secondo le indicazioni date dal Direttore dell’esecuzione, per alberi di ogni forma e specie, con altezza fino a 12 metri, compreso il noleggio di piattaforme aeree, scale, trabattelli; compreso il carico, il trasporto e lo smaltimento alle PP.DD. del materiale di risulta e quanto necessario per dare il lavoro finito a regola d’arte.</w:t>
      </w:r>
    </w:p>
    <w:p>
      <w:pPr>
        <w:pStyle w:val="BodyText"/>
        <w:spacing w:before="129" w:after="0"/>
        <w:ind w:hanging="0" w:left="1592"/>
        <w:jc w:val="both"/>
        <w:rPr/>
      </w:pPr>
      <w:r>
        <w:rPr>
          <w:rFonts w:cs="Segoe UI" w:ascii="Segoe UI" w:hAnsi="Segoe UI"/>
        </w:rPr>
        <w:t>Sono a carico dell'impresa tutte le opere provvisorie (segnaletica, transennamenti, comunicazioni alla vigilanza, cartelli da collocarsi con congrui tempi preventivi) ed ogni forma di informazione preventiva alla cittadinanza, nonché tutte le incombenze istituzionali relative all'agibilità del traffico veicolare e pedonale.</w:t>
      </w:r>
    </w:p>
    <w:p>
      <w:pPr>
        <w:pStyle w:val="BodyText"/>
        <w:spacing w:before="129" w:after="0"/>
        <w:ind w:hanging="0" w:left="1592"/>
        <w:jc w:val="both"/>
        <w:rPr/>
      </w:pPr>
      <w:r>
        <w:rPr>
          <w:rFonts w:cs="Segoe UI" w:ascii="Segoe UI" w:hAnsi="Segoe UI"/>
        </w:rPr>
        <w:t>Sono compresi interventi illimitati di riduzione delle branche sviluppatesi esternamente alla forma obbligata.</w:t>
      </w:r>
    </w:p>
    <w:p>
      <w:pPr>
        <w:pStyle w:val="BodyText"/>
        <w:spacing w:before="129" w:after="0"/>
        <w:ind w:hanging="0" w:left="1592"/>
        <w:jc w:val="both"/>
        <w:rPr/>
      </w:pPr>
      <w:r>
        <w:rPr>
          <w:rFonts w:cs="Segoe UI" w:ascii="Segoe UI" w:hAnsi="Segoe UI"/>
        </w:rPr>
        <w:t>Per maggiori dettagli tecnici e operativi, si rimanda alla parte 2, prescrizioni tecniche del presente Capitolato speciale d’appalto.</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misura.</w:t>
      </w:r>
    </w:p>
    <w:p>
      <w:pPr>
        <w:pStyle w:val="BodyText"/>
        <w:spacing w:before="129" w:after="0"/>
        <w:ind w:hanging="0" w:left="1592"/>
        <w:jc w:val="both"/>
        <w:rPr/>
      </w:pPr>
      <w:r>
        <w:rPr>
          <w:rFonts w:cs="Segoe UI" w:ascii="Segoe UI" w:hAnsi="Segoe UI"/>
          <w:b/>
          <w:bCs/>
          <w:color w:val="C9211E"/>
          <w:sz w:val="24"/>
          <w:szCs w:val="24"/>
        </w:rPr>
        <w:t>LAVORAZIONE 6 (6.2-6.3-6.4-6.5)</w:t>
      </w:r>
      <w:r>
        <w:rPr>
          <w:rFonts w:cs="Segoe UI" w:ascii="Segoe UI" w:hAnsi="Segoe UI"/>
          <w:b/>
          <w:bCs/>
          <w:i/>
          <w:iCs/>
          <w:color w:val="C9211E"/>
          <w:sz w:val="24"/>
          <w:szCs w:val="24"/>
        </w:rPr>
        <w:t xml:space="preserve"> Potatura di contenimento</w:t>
      </w:r>
    </w:p>
    <w:p>
      <w:pPr>
        <w:pStyle w:val="BodyText"/>
        <w:spacing w:before="129" w:after="0"/>
        <w:ind w:hanging="0" w:left="1592"/>
        <w:jc w:val="both"/>
        <w:rPr/>
      </w:pPr>
      <w:r>
        <w:rPr>
          <w:rFonts w:cs="Segoe UI" w:ascii="Segoe UI" w:hAnsi="Segoe UI"/>
          <w:b/>
          <w:bCs/>
        </w:rPr>
        <w:t>Alberature parchi e giardini viali:</w:t>
      </w:r>
      <w:r>
        <w:rPr>
          <w:rFonts w:cs="Segoe UI" w:ascii="Segoe UI" w:hAnsi="Segoe UI"/>
        </w:rPr>
        <w:t xml:space="preserve"> potatura di contenimento e formazione, intervento  e smaltimento su alberi di qualsiasi specie, tipo e dimensione.</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nei periodi di riposo vegetativo.</w:t>
      </w:r>
    </w:p>
    <w:p>
      <w:pPr>
        <w:pStyle w:val="BodyText"/>
        <w:spacing w:before="129" w:after="0"/>
        <w:ind w:hanging="0" w:left="1592"/>
        <w:jc w:val="both"/>
        <w:rPr/>
      </w:pPr>
      <w:r>
        <w:rPr>
          <w:rFonts w:cs="Segoe UI" w:ascii="Segoe UI" w:hAnsi="Segoe UI"/>
          <w:b/>
          <w:bCs/>
        </w:rPr>
        <w:t xml:space="preserve">Periodicità: </w:t>
      </w:r>
      <w:r>
        <w:rPr>
          <w:rFonts w:cs="Segoe UI" w:ascii="Segoe UI" w:hAnsi="Segoe UI"/>
        </w:rPr>
        <w:t>secondo il cronoprogramma stabilito con il DEC;</w:t>
      </w:r>
    </w:p>
    <w:p>
      <w:pPr>
        <w:pStyle w:val="BodyText"/>
        <w:spacing w:before="129" w:after="0"/>
        <w:ind w:hanging="0" w:left="1592"/>
        <w:jc w:val="both"/>
        <w:rPr/>
      </w:pPr>
      <w:r>
        <w:rPr>
          <w:rFonts w:cs="Segoe UI" w:ascii="Segoe UI" w:hAnsi="Segoe UI"/>
          <w:b/>
          <w:bCs/>
        </w:rPr>
        <w:t>Modalità operative:</w:t>
      </w:r>
      <w:r>
        <w:rPr>
          <w:rFonts w:cs="Segoe UI" w:ascii="Segoe UI" w:hAnsi="Segoe UI"/>
        </w:rPr>
        <w:t xml:space="preserve">   l'intervento prevede la potatura di contenimento delle alberature, comprende la rimonda del secco, integrata dall'eliminazione dei rami malformati o affetti da manifestazioni patologiche (nel qual caso dovranno essere rimossi con le dovute precauzioni), dei rami in sovrannumero, di quelli deboli e sottili che si formano con particolare frequenza al centro della chioma. Per potature eseguite a regola d'arte si considerano quelle effettuate sull'esemplare arboreo interessando branche e rami di diametro non superiore a cm. 5 e praticando tagli all'inserimento della branca o ramo di ordine superiore, su quella inferiore, e cioè ai "nodi" o biforcazioni, in modo tale da non lasciare porzioni di branca e di ramo privi di più giovani rami apicali; tale tecnica risulta comunemente definita "potatura tramite taglio di ritorno".</w:t>
      </w:r>
    </w:p>
    <w:p>
      <w:pPr>
        <w:pStyle w:val="BodyText"/>
        <w:spacing w:before="129" w:after="0"/>
        <w:ind w:hanging="0" w:left="1592"/>
        <w:jc w:val="both"/>
        <w:rPr/>
      </w:pPr>
      <w:r>
        <w:rPr>
          <w:rFonts w:cs="Segoe UI" w:ascii="Segoe UI" w:hAnsi="Segoe UI"/>
        </w:rPr>
        <w:t>L'impresa provvederà a fornire sia il programma d'intervento, sia la documentazione fotografica degli esemplari campione potati.</w:t>
      </w:r>
    </w:p>
    <w:p>
      <w:pPr>
        <w:pStyle w:val="BodyText"/>
        <w:spacing w:before="129" w:after="0"/>
        <w:ind w:hanging="0" w:left="1592"/>
        <w:jc w:val="both"/>
        <w:rPr/>
      </w:pPr>
      <w:r>
        <w:rPr>
          <w:rFonts w:cs="Segoe UI" w:ascii="Segoe UI" w:hAnsi="Segoe UI"/>
        </w:rPr>
        <w:t>Solo dopo che il Direttore avrà formalmente approvato il tipo di intervento proposto, l'impresa potrà dare inizio ai lavori.</w:t>
      </w:r>
    </w:p>
    <w:p>
      <w:pPr>
        <w:pStyle w:val="BodyText"/>
        <w:spacing w:before="129" w:after="0"/>
        <w:ind w:hanging="0" w:left="1592"/>
        <w:jc w:val="both"/>
        <w:rPr/>
      </w:pPr>
      <w:r>
        <w:rPr>
          <w:rFonts w:cs="Segoe UI" w:ascii="Segoe UI" w:hAnsi="Segoe UI"/>
        </w:rPr>
        <w:t>Sono a carico dell'impresa tutte le opere provvisorie (segnaletica, transennamenti, comunicazioni alla vigilanza, cartelli da collocarsi con congrui tempi preventivi) ed ogni forma di informazione preventiva alla cittadinanza, nonché tutte le incombenze istituzionali relative all'agibilità del traffico veicolare e pedonale, nonché le norme definite da leggi vigenti in materia fitosanitaria (es. lotta obbligatoria alla Ceratocystis del platano).</w:t>
      </w:r>
    </w:p>
    <w:p>
      <w:pPr>
        <w:pStyle w:val="BodyText"/>
        <w:spacing w:before="129" w:after="0"/>
        <w:ind w:hanging="0" w:left="1592"/>
        <w:jc w:val="both"/>
        <w:rPr/>
      </w:pPr>
      <w:r>
        <w:rPr>
          <w:rFonts w:cs="Segoe UI" w:ascii="Segoe UI" w:hAnsi="Segoe UI"/>
        </w:rPr>
        <w:t>Resta inteso che l'impresa dovrà provvedere alla organizzazione del cantiere in modo tale da minimizzare l'impatto dei lavori sulla mobilità urbana, veicolare e pedonale.</w:t>
      </w:r>
    </w:p>
    <w:p>
      <w:pPr>
        <w:pStyle w:val="BodyText"/>
        <w:spacing w:before="129" w:after="0"/>
        <w:ind w:hanging="0" w:left="1592"/>
        <w:jc w:val="both"/>
        <w:rPr/>
      </w:pPr>
      <w:r>
        <w:rPr>
          <w:rFonts w:cs="Segoe UI" w:ascii="Segoe UI" w:hAnsi="Segoe UI"/>
        </w:rPr>
        <w:t>Il materiale di risulta dovrà essere prontamente raccolto e smaltito al termine di ogni giorno di intervento.</w:t>
      </w:r>
    </w:p>
    <w:p>
      <w:pPr>
        <w:pStyle w:val="BodyText"/>
        <w:spacing w:before="129" w:after="0"/>
        <w:ind w:hanging="0" w:left="1592"/>
        <w:jc w:val="both"/>
        <w:rPr/>
      </w:pPr>
      <w:r>
        <w:rPr>
          <w:rFonts w:cs="Segoe UI" w:ascii="Segoe UI" w:hAnsi="Segoe UI"/>
        </w:rPr>
        <w:t>Per maggiori dettagli tecnici e operativi, si rimanda alla parte 2, prescrizioni tecniche del presente Capitolato speciale d’appalto.</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misura.</w:t>
      </w:r>
    </w:p>
    <w:p>
      <w:pPr>
        <w:pStyle w:val="BodyText"/>
        <w:spacing w:before="129" w:after="0"/>
        <w:ind w:hanging="0" w:left="1592"/>
        <w:jc w:val="both"/>
        <w:rPr>
          <w:rFonts w:ascii="Segoe UI" w:hAnsi="Segoe UI" w:cs="Segoe UI"/>
        </w:rPr>
      </w:pPr>
      <w:r>
        <w:rPr>
          <w:rFonts w:cs="Segoe UI" w:ascii="Segoe UI" w:hAnsi="Segoe UI"/>
        </w:rPr>
      </w:r>
    </w:p>
    <w:p>
      <w:pPr>
        <w:pStyle w:val="BodyText"/>
        <w:spacing w:before="129" w:after="0"/>
        <w:ind w:hanging="0" w:left="1592"/>
        <w:jc w:val="both"/>
        <w:rPr/>
      </w:pPr>
      <w:r>
        <w:rPr>
          <w:rFonts w:cs="Segoe UI" w:ascii="Segoe UI" w:hAnsi="Segoe UI"/>
          <w:b/>
          <w:bCs/>
          <w:color w:val="C9211E"/>
          <w:sz w:val="24"/>
          <w:szCs w:val="24"/>
        </w:rPr>
        <w:t>LAVORAZIONE 7 (7.1-7.2-7.3-7.4)</w:t>
      </w:r>
      <w:r>
        <w:rPr>
          <w:rFonts w:cs="Segoe UI" w:ascii="Segoe UI" w:hAnsi="Segoe UI"/>
          <w:b/>
          <w:bCs/>
          <w:i/>
          <w:iCs/>
          <w:color w:val="C9211E"/>
          <w:sz w:val="24"/>
          <w:szCs w:val="24"/>
        </w:rPr>
        <w:t xml:space="preserve"> Rimonda del secco alberature</w:t>
      </w:r>
    </w:p>
    <w:p>
      <w:pPr>
        <w:pStyle w:val="BodyText"/>
        <w:spacing w:before="129" w:after="0"/>
        <w:ind w:hanging="0" w:left="1592"/>
        <w:jc w:val="both"/>
        <w:rPr/>
      </w:pPr>
      <w:r>
        <w:rPr>
          <w:rFonts w:cs="Segoe UI" w:ascii="Segoe UI" w:hAnsi="Segoe UI"/>
          <w:b/>
          <w:bCs/>
        </w:rPr>
        <w:t xml:space="preserve">Rimonda del secco di alberi in viali, parchi, giardini, aiuole: </w:t>
      </w:r>
      <w:r>
        <w:rPr>
          <w:rFonts w:cs="Segoe UI" w:ascii="Segoe UI" w:hAnsi="Segoe UI"/>
        </w:rPr>
        <w:t>taglio di branche e rami secchi su esemplari di qualsiasi dimensione, specie ed altezza con carico, trasporto e smaltimento del materiale di risulta.</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costante;</w:t>
      </w:r>
    </w:p>
    <w:p>
      <w:pPr>
        <w:pStyle w:val="BodyText"/>
        <w:spacing w:before="129" w:after="0"/>
        <w:ind w:hanging="0" w:left="1592"/>
        <w:jc w:val="both"/>
        <w:rPr/>
      </w:pPr>
      <w:r>
        <w:rPr>
          <w:rFonts w:cs="Segoe UI" w:ascii="Segoe UI" w:hAnsi="Segoe UI"/>
          <w:b/>
          <w:bCs/>
        </w:rPr>
        <w:t xml:space="preserve">Periodicità: </w:t>
      </w:r>
      <w:r>
        <w:rPr>
          <w:rFonts w:cs="Segoe UI" w:ascii="Segoe UI" w:hAnsi="Segoe UI"/>
        </w:rPr>
        <w:t>secondo il cronoprogramma stabilito con il DEC;</w:t>
      </w:r>
    </w:p>
    <w:p>
      <w:pPr>
        <w:pStyle w:val="BodyText"/>
        <w:spacing w:before="129" w:after="0"/>
        <w:ind w:hanging="0" w:left="1592"/>
        <w:jc w:val="both"/>
        <w:rPr/>
      </w:pPr>
      <w:r>
        <w:rPr>
          <w:rFonts w:cs="Segoe UI" w:ascii="Segoe UI" w:hAnsi="Segoe UI"/>
          <w:b/>
          <w:bCs/>
        </w:rPr>
        <w:t xml:space="preserve">Modalità operative: </w:t>
      </w:r>
      <w:r>
        <w:rPr>
          <w:rFonts w:cs="Segoe UI" w:ascii="Segoe UI" w:hAnsi="Segoe UI"/>
        </w:rPr>
        <w:t xml:space="preserve">l'intervento prevede la rimonda del secco integrata dall'eliminazione dei rami malformati o affetti da manifestazioni patologiche (nel qual caso dovranno essere rimossi con le dovute precauzioni), </w:t>
      </w:r>
    </w:p>
    <w:p>
      <w:pPr>
        <w:pStyle w:val="BodyText"/>
        <w:spacing w:before="129" w:after="0"/>
        <w:ind w:hanging="0" w:left="1592"/>
        <w:jc w:val="both"/>
        <w:rPr/>
      </w:pPr>
      <w:r>
        <w:rPr>
          <w:rFonts w:cs="Segoe UI" w:ascii="Segoe UI" w:hAnsi="Segoe UI"/>
        </w:rPr>
        <w:t>A carico dell'Impresa rimangono i noleggi di scale, piattaforme aeree, attrezzi vari, manodopera e quant'altro necessario per la perfetta riuscita dei lavori.</w:t>
      </w:r>
    </w:p>
    <w:p>
      <w:pPr>
        <w:pStyle w:val="BodyText"/>
        <w:spacing w:before="129" w:after="0"/>
        <w:ind w:hanging="0" w:left="1592"/>
        <w:jc w:val="both"/>
        <w:rPr/>
      </w:pPr>
      <w:r>
        <w:rPr>
          <w:rFonts w:cs="Segoe UI" w:ascii="Segoe UI" w:hAnsi="Segoe UI"/>
        </w:rPr>
        <w:t>Sono a carico dell'impresa tutte le opere provvisorie (segnaletica, transennamenti, comunicazioni alla vigilanza, cartelli da collocarsi con congrui tempi preventivi) ed ogni forma di informazione preventiva alla cittadinanza, nonché tutte le incombenze istituzionali relative all'agibilità dei traffico veicolare e pedonale, nonché le norme definite da leggi vigenti in materia fitosanitaria (es. lotta obbligatoria cancro colorato del platano), il noleggio delle piattaforme aeree, delle macchine cippatrici, motoseghe, ecc.</w:t>
      </w:r>
    </w:p>
    <w:p>
      <w:pPr>
        <w:pStyle w:val="BodyText"/>
        <w:spacing w:before="129" w:after="0"/>
        <w:ind w:hanging="0" w:left="1592"/>
        <w:jc w:val="both"/>
        <w:rPr/>
      </w:pPr>
      <w:r>
        <w:rPr>
          <w:rFonts w:cs="Segoe UI" w:ascii="Segoe UI" w:hAnsi="Segoe UI"/>
        </w:rPr>
        <w:t>Resta inteso che l'impresa dovrà provvedere alla organizzazione dei cantiere in modo tale da minimizzare l'impatto dei lavori sulla mobilità urbana, veicolare e pedonale.</w:t>
      </w:r>
    </w:p>
    <w:p>
      <w:pPr>
        <w:pStyle w:val="BodyText"/>
        <w:spacing w:before="129" w:after="0"/>
        <w:ind w:hanging="0" w:left="1592"/>
        <w:jc w:val="both"/>
        <w:rPr/>
      </w:pPr>
      <w:r>
        <w:rPr>
          <w:rFonts w:cs="Segoe UI" w:ascii="Segoe UI" w:hAnsi="Segoe UI"/>
        </w:rPr>
        <w:t>Il materiale di risulta, preferibilmente cippato in loco dovrà essere prontamente raccolto e smaltito al termine di ogni giorno di intervento.</w:t>
      </w:r>
    </w:p>
    <w:p>
      <w:pPr>
        <w:pStyle w:val="BodyText"/>
        <w:spacing w:before="129" w:after="0"/>
        <w:ind w:hanging="0" w:left="1592"/>
        <w:jc w:val="both"/>
        <w:rPr/>
      </w:pPr>
      <w:r>
        <w:rPr>
          <w:rFonts w:cs="Segoe UI" w:ascii="Segoe UI" w:hAnsi="Segoe UI"/>
        </w:rPr>
        <w:t>Per maggiori dettagli tecnici e operativi, si rimanda alla parte 2, prescrizioni tecniche del presente Capitolato speciale d’appalto.</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misura.</w:t>
      </w:r>
    </w:p>
    <w:p>
      <w:pPr>
        <w:pStyle w:val="BodyText"/>
        <w:spacing w:before="129" w:after="0"/>
        <w:ind w:hanging="0" w:left="1592"/>
        <w:jc w:val="both"/>
        <w:rPr>
          <w:rFonts w:ascii="Segoe UI" w:hAnsi="Segoe UI" w:cs="Segoe UI"/>
        </w:rPr>
      </w:pPr>
      <w:r>
        <w:rPr>
          <w:rFonts w:cs="Segoe UI" w:ascii="Segoe UI" w:hAnsi="Segoe UI"/>
        </w:rPr>
      </w:r>
    </w:p>
    <w:p>
      <w:pPr>
        <w:pStyle w:val="BodyText"/>
        <w:spacing w:before="129" w:after="0"/>
        <w:ind w:hanging="0" w:left="1592"/>
        <w:jc w:val="both"/>
        <w:rPr/>
      </w:pPr>
      <w:r>
        <w:rPr>
          <w:rFonts w:cs="Segoe UI" w:ascii="Segoe UI" w:hAnsi="Segoe UI"/>
          <w:b/>
          <w:bCs/>
          <w:color w:val="C9211E"/>
          <w:sz w:val="24"/>
          <w:szCs w:val="24"/>
        </w:rPr>
        <w:t>LAVORAZIONE 8.1</w:t>
      </w:r>
      <w:r>
        <w:rPr>
          <w:rFonts w:cs="Segoe UI" w:ascii="Segoe UI" w:hAnsi="Segoe UI"/>
          <w:b/>
          <w:bCs/>
          <w:i/>
          <w:iCs/>
          <w:color w:val="C9211E"/>
          <w:sz w:val="24"/>
          <w:szCs w:val="24"/>
        </w:rPr>
        <w:t xml:space="preserve"> Pulizia fusto alberature</w:t>
      </w:r>
    </w:p>
    <w:p>
      <w:pPr>
        <w:pStyle w:val="BodyText"/>
        <w:spacing w:before="129" w:after="0"/>
        <w:ind w:hanging="0" w:left="1592"/>
        <w:jc w:val="both"/>
        <w:rPr/>
      </w:pPr>
      <w:r>
        <w:rPr>
          <w:rFonts w:cs="Segoe UI" w:ascii="Segoe UI" w:hAnsi="Segoe UI"/>
          <w:b/>
          <w:bCs/>
        </w:rPr>
        <w:t xml:space="preserve">Pulizia fusto di alberi in viali, parchi, giardini, aiuole: </w:t>
      </w:r>
      <w:r>
        <w:rPr>
          <w:rFonts w:cs="Segoe UI" w:ascii="Segoe UI" w:hAnsi="Segoe UI"/>
        </w:rPr>
        <w:t>da considerarsi a tutti gli effetti operazione di ordinaria manutenzione delle alberature stradali. Consiste nella periodica eliminazione dei ricacci cresciuti sul fusto tra il colletto e l’impalcatura. Deve essere eseguita in modo da evitare di intaccare con il taglio i tessuti legnosi del tronco. Da eseguirsi solo ed esclusivamente con l'uso di attrezzi da taglio manuali (forbici, trancia rami, svettatoio)</w:t>
      </w:r>
    </w:p>
    <w:p>
      <w:pPr>
        <w:pStyle w:val="BodyText"/>
        <w:spacing w:before="129" w:after="0"/>
        <w:ind w:hanging="0" w:left="1592"/>
        <w:jc w:val="both"/>
        <w:rPr>
          <w:rFonts w:ascii="Segoe UI" w:hAnsi="Segoe UI" w:cs="Segoe UI"/>
        </w:rPr>
      </w:pPr>
      <w:r>
        <w:rPr>
          <w:rFonts w:cs="Segoe UI" w:ascii="Segoe UI" w:hAnsi="Segoe UI"/>
          <w:b/>
          <w:bCs/>
        </w:rPr>
        <w:t xml:space="preserve">Periodo di esercizio: </w:t>
      </w:r>
      <w:r>
        <w:rPr>
          <w:rFonts w:cs="Segoe UI" w:ascii="Segoe UI" w:hAnsi="Segoe UI"/>
        </w:rPr>
        <w:t>costante;</w:t>
      </w:r>
    </w:p>
    <w:p>
      <w:pPr>
        <w:pStyle w:val="BodyText"/>
        <w:spacing w:before="129" w:after="0"/>
        <w:ind w:hanging="0" w:left="1592"/>
        <w:jc w:val="both"/>
        <w:rPr>
          <w:rFonts w:ascii="Segoe UI" w:hAnsi="Segoe UI" w:cs="Segoe UI"/>
        </w:rPr>
      </w:pPr>
      <w:r>
        <w:rPr>
          <w:rFonts w:cs="Segoe UI" w:ascii="Segoe UI" w:hAnsi="Segoe UI"/>
          <w:b/>
          <w:bCs/>
        </w:rPr>
        <w:t>Periodicità:</w:t>
      </w:r>
      <w:r>
        <w:rPr>
          <w:rFonts w:cs="Segoe UI" w:ascii="Segoe UI" w:hAnsi="Segoe UI"/>
        </w:rPr>
        <w:t xml:space="preserve"> secondo il cronoprogramma stabilito con il DEC;</w:t>
      </w:r>
    </w:p>
    <w:p>
      <w:pPr>
        <w:pStyle w:val="BodyText"/>
        <w:spacing w:before="129" w:after="0"/>
        <w:ind w:hanging="0" w:left="1592"/>
        <w:jc w:val="both"/>
        <w:rPr>
          <w:rFonts w:ascii="Segoe UI" w:hAnsi="Segoe UI" w:cs="Segoe UI"/>
        </w:rPr>
      </w:pPr>
      <w:r>
        <w:rPr>
          <w:rFonts w:cs="Segoe UI" w:ascii="Segoe UI" w:hAnsi="Segoe UI"/>
          <w:b/>
          <w:bCs/>
        </w:rPr>
        <w:t xml:space="preserve">Modalità operative: </w:t>
      </w:r>
      <w:r>
        <w:rPr>
          <w:rFonts w:cs="Segoe UI" w:ascii="Segoe UI" w:hAnsi="Segoe UI"/>
        </w:rPr>
        <w:t>vedi sopra</w:t>
      </w:r>
    </w:p>
    <w:p>
      <w:pPr>
        <w:pStyle w:val="BodyText"/>
        <w:spacing w:before="129" w:after="0"/>
        <w:ind w:hanging="0" w:left="1592"/>
        <w:jc w:val="both"/>
        <w:rPr>
          <w:rFonts w:ascii="Segoe UI" w:hAnsi="Segoe UI" w:cs="Segoe UI"/>
        </w:rPr>
      </w:pPr>
      <w:r>
        <w:rPr>
          <w:rFonts w:cs="Segoe UI" w:ascii="Segoe UI" w:hAnsi="Segoe UI"/>
          <w:b/>
          <w:bCs/>
        </w:rPr>
        <w:t xml:space="preserve">Dimensionamento della lavorazione: </w:t>
      </w:r>
      <w:r>
        <w:rPr>
          <w:rFonts w:cs="Segoe UI" w:ascii="Segoe UI" w:hAnsi="Segoe UI"/>
        </w:rPr>
        <w:t>a misura.</w:t>
      </w:r>
    </w:p>
    <w:p>
      <w:pPr>
        <w:pStyle w:val="BodyText"/>
        <w:spacing w:before="129" w:after="0"/>
        <w:ind w:hanging="0" w:left="1592"/>
        <w:jc w:val="both"/>
        <w:rPr>
          <w:rFonts w:ascii="Segoe UI" w:hAnsi="Segoe UI" w:cs="Segoe UI"/>
        </w:rPr>
      </w:pPr>
      <w:r>
        <w:rPr>
          <w:rFonts w:cs="Segoe UI" w:ascii="Segoe UI" w:hAnsi="Segoe UI"/>
        </w:rPr>
      </w:r>
    </w:p>
    <w:p>
      <w:pPr>
        <w:pStyle w:val="BodyText"/>
        <w:spacing w:before="129" w:after="0"/>
        <w:ind w:hanging="0" w:left="1592"/>
        <w:jc w:val="both"/>
        <w:rPr>
          <w:rFonts w:ascii="Segoe UI" w:hAnsi="Segoe UI" w:cs="Segoe UI"/>
          <w:b/>
          <w:bCs/>
          <w:color w:val="C9211E"/>
          <w:sz w:val="24"/>
          <w:szCs w:val="24"/>
        </w:rPr>
      </w:pPr>
      <w:r>
        <w:rPr>
          <w:rFonts w:cs="Segoe UI" w:ascii="Segoe UI" w:hAnsi="Segoe UI"/>
          <w:b/>
          <w:bCs/>
          <w:color w:val="C9211E"/>
          <w:sz w:val="24"/>
          <w:szCs w:val="24"/>
        </w:rPr>
        <w:t>LAVORAZIONE 8.2 Spalcatura alberature</w:t>
      </w:r>
    </w:p>
    <w:p>
      <w:pPr>
        <w:pStyle w:val="BodyText"/>
        <w:ind w:hanging="0" w:left="1440"/>
        <w:jc w:val="both"/>
        <w:rPr/>
      </w:pPr>
      <w:r>
        <w:rPr>
          <w:rFonts w:cs="Segoe UI" w:ascii="Segoe UI" w:hAnsi="Segoe UI"/>
          <w:b/>
          <w:bCs/>
        </w:rPr>
        <w:t xml:space="preserve">Spalcatura/innalzamento chioma di alberi in viali, parchi, giardini, aiuole: </w:t>
      </w:r>
      <w:r>
        <w:rPr>
          <w:rFonts w:cs="Segoe UI" w:ascii="Segoe UI" w:hAnsi="Segoe UI"/>
        </w:rPr>
        <w:t xml:space="preserve">consiste nell'eliminazione dei rami posti al di sotto del palco principale. Comprende la pulizia del fusto, l’eliminazione/riduzione dei rami presenti nella parte inferiore della chioma. Questo intervento è richiesto per lo più a carico di alberi situati lungo le strade, per evitare interferenza della chioma con i veicoli in transito (vale anche nel caso di interferenza in zone di passaggio pedonale) e alleggerire la parti basali la chioma. Da eseguirsi sempre nel rispetto delle buone pratiche arboricolturali </w:t>
      </w:r>
    </w:p>
    <w:p>
      <w:pPr>
        <w:pStyle w:val="BodyText"/>
        <w:ind w:hanging="0" w:left="1440"/>
        <w:jc w:val="both"/>
        <w:rPr/>
      </w:pPr>
      <w:r>
        <w:rPr>
          <w:rFonts w:cs="Segoe UI" w:ascii="Segoe UI" w:hAnsi="Segoe UI"/>
        </w:rPr>
        <w:t>(esempio: rispetto del collare).</w:t>
      </w:r>
    </w:p>
    <w:p>
      <w:pPr>
        <w:pStyle w:val="BodyText"/>
        <w:spacing w:before="129" w:after="0"/>
        <w:ind w:hanging="0" w:left="1592"/>
        <w:jc w:val="both"/>
        <w:rPr>
          <w:rFonts w:ascii="Segoe UI" w:hAnsi="Segoe UI" w:cs="Segoe UI"/>
          <w:b/>
          <w:bCs/>
        </w:rPr>
      </w:pPr>
      <w:r>
        <w:rPr>
          <w:rFonts w:cs="Segoe UI" w:ascii="Segoe UI" w:hAnsi="Segoe UI"/>
          <w:b/>
          <w:bCs/>
        </w:rPr>
        <w:t xml:space="preserve">Periodo di esercizio: </w:t>
      </w:r>
      <w:r>
        <w:rPr>
          <w:rFonts w:cs="Segoe UI" w:ascii="Segoe UI" w:hAnsi="Segoe UI"/>
        </w:rPr>
        <w:t>costante</w:t>
      </w:r>
      <w:r>
        <w:rPr>
          <w:rFonts w:cs="Segoe UI" w:ascii="Segoe UI" w:hAnsi="Segoe UI"/>
          <w:b/>
          <w:bCs/>
        </w:rPr>
        <w:t>;</w:t>
      </w:r>
    </w:p>
    <w:p>
      <w:pPr>
        <w:pStyle w:val="BodyText"/>
        <w:spacing w:before="129" w:after="0"/>
        <w:ind w:hanging="0" w:left="1592"/>
        <w:jc w:val="both"/>
        <w:rPr>
          <w:rFonts w:ascii="Segoe UI" w:hAnsi="Segoe UI" w:cs="Segoe UI"/>
        </w:rPr>
      </w:pPr>
      <w:r>
        <w:rPr>
          <w:rFonts w:cs="Segoe UI" w:ascii="Segoe UI" w:hAnsi="Segoe UI"/>
          <w:b/>
          <w:bCs/>
        </w:rPr>
        <w:t xml:space="preserve">Periodicità: </w:t>
      </w:r>
      <w:r>
        <w:rPr>
          <w:rFonts w:cs="Segoe UI" w:ascii="Segoe UI" w:hAnsi="Segoe UI"/>
        </w:rPr>
        <w:t>secondo il cronoprogramma stabilito con il DEC;</w:t>
      </w:r>
    </w:p>
    <w:p>
      <w:pPr>
        <w:pStyle w:val="BodyText"/>
        <w:spacing w:before="129" w:after="0"/>
        <w:ind w:hanging="0" w:left="1592"/>
        <w:jc w:val="both"/>
        <w:rPr>
          <w:rFonts w:ascii="Segoe UI" w:hAnsi="Segoe UI" w:cs="Segoe UI"/>
        </w:rPr>
      </w:pPr>
      <w:r>
        <w:rPr>
          <w:rFonts w:cs="Segoe UI" w:ascii="Segoe UI" w:hAnsi="Segoe UI"/>
          <w:b/>
          <w:bCs/>
        </w:rPr>
        <w:t xml:space="preserve">Modalità operative: </w:t>
      </w:r>
      <w:r>
        <w:rPr>
          <w:rFonts w:cs="Segoe UI" w:ascii="Segoe UI" w:hAnsi="Segoe UI"/>
        </w:rPr>
        <w:t>vedi sopra</w:t>
      </w:r>
    </w:p>
    <w:p>
      <w:pPr>
        <w:pStyle w:val="BodyText"/>
        <w:spacing w:before="129" w:after="0"/>
        <w:ind w:hanging="0" w:left="1592"/>
        <w:jc w:val="both"/>
        <w:rPr>
          <w:rFonts w:ascii="Segoe UI" w:hAnsi="Segoe UI" w:cs="Segoe UI"/>
        </w:rPr>
      </w:pPr>
      <w:r>
        <w:rPr>
          <w:rFonts w:cs="Segoe UI" w:ascii="Segoe UI" w:hAnsi="Segoe UI"/>
          <w:b/>
          <w:bCs/>
        </w:rPr>
        <w:t xml:space="preserve">Dimensionamento della lavorazione: </w:t>
      </w:r>
      <w:r>
        <w:rPr>
          <w:rFonts w:cs="Segoe UI" w:ascii="Segoe UI" w:hAnsi="Segoe UI"/>
        </w:rPr>
        <w:t>a misura.</w:t>
      </w:r>
    </w:p>
    <w:p>
      <w:pPr>
        <w:pStyle w:val="BodyText"/>
        <w:spacing w:before="129" w:after="0"/>
        <w:ind w:hanging="0" w:left="1592"/>
        <w:jc w:val="both"/>
        <w:rPr>
          <w:rFonts w:ascii="Segoe UI" w:hAnsi="Segoe UI" w:cs="Segoe UI"/>
          <w:b/>
          <w:bCs/>
        </w:rPr>
      </w:pPr>
      <w:r>
        <w:rPr>
          <w:rFonts w:cs="Segoe UI" w:ascii="Segoe UI" w:hAnsi="Segoe UI"/>
          <w:b/>
          <w:bCs/>
        </w:rPr>
      </w:r>
    </w:p>
    <w:p>
      <w:pPr>
        <w:pStyle w:val="BodyText"/>
        <w:spacing w:before="129" w:after="0"/>
        <w:ind w:hanging="0" w:left="1592"/>
        <w:jc w:val="both"/>
        <w:rPr/>
      </w:pPr>
      <w:r>
        <w:rPr>
          <w:rFonts w:cs="Segoe UI" w:ascii="Segoe UI" w:hAnsi="Segoe UI"/>
          <w:b/>
          <w:bCs/>
          <w:color w:val="C9211E"/>
          <w:sz w:val="24"/>
          <w:szCs w:val="24"/>
        </w:rPr>
        <w:t>LAVORAZIONE 9 (9.1-9.2-9.3-9.4-9.5)</w:t>
      </w:r>
      <w:r>
        <w:rPr>
          <w:rFonts w:cs="Segoe UI" w:ascii="Segoe UI" w:hAnsi="Segoe UI"/>
          <w:b/>
          <w:bCs/>
          <w:i/>
          <w:iCs/>
          <w:color w:val="C9211E"/>
          <w:sz w:val="24"/>
          <w:szCs w:val="24"/>
        </w:rPr>
        <w:t xml:space="preserve"> Abbattimento alberi</w:t>
      </w:r>
    </w:p>
    <w:p>
      <w:pPr>
        <w:pStyle w:val="BodyText"/>
        <w:spacing w:before="129" w:after="0"/>
        <w:ind w:hanging="0" w:left="1592"/>
        <w:jc w:val="both"/>
        <w:rPr/>
      </w:pPr>
      <w:r>
        <w:rPr>
          <w:rFonts w:cs="Segoe UI" w:ascii="Segoe UI" w:hAnsi="Segoe UI"/>
          <w:b/>
          <w:bCs/>
        </w:rPr>
        <w:t>Abbattimento di alberi in parchi, giardini, viali ed altre aree di proprietà:</w:t>
      </w:r>
      <w:r>
        <w:rPr>
          <w:rFonts w:cs="Segoe UI" w:ascii="Segoe UI" w:hAnsi="Segoe UI"/>
        </w:rPr>
        <w:t xml:space="preserve"> abbattimento alberi non più vegeti, degradati di qualsiasi dimensione, specie e forma compreso del carico, trasporto e smaltimento della risulta alle PP.DD. e di ogni materiale necessario a compiere la lavorazione a regola d'arte.</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costante;</w:t>
      </w:r>
    </w:p>
    <w:p>
      <w:pPr>
        <w:pStyle w:val="BodyText"/>
        <w:spacing w:before="129" w:after="0"/>
        <w:ind w:hanging="0" w:left="1592"/>
        <w:jc w:val="both"/>
        <w:rPr/>
      </w:pPr>
      <w:r>
        <w:rPr>
          <w:rFonts w:cs="Segoe UI" w:ascii="Segoe UI" w:hAnsi="Segoe UI"/>
          <w:b/>
          <w:bCs/>
        </w:rPr>
        <w:t xml:space="preserve">Periodicità: </w:t>
      </w:r>
      <w:r>
        <w:rPr>
          <w:rFonts w:cs="Segoe UI" w:ascii="Segoe UI" w:hAnsi="Segoe UI"/>
        </w:rPr>
        <w:t>secondo il cronoprogramma stabilito con il DEC;</w:t>
      </w:r>
    </w:p>
    <w:p>
      <w:pPr>
        <w:pStyle w:val="BodyText"/>
        <w:spacing w:before="129" w:after="0"/>
        <w:ind w:hanging="0" w:left="1592"/>
        <w:jc w:val="both"/>
        <w:rPr/>
      </w:pPr>
      <w:r>
        <w:rPr>
          <w:rFonts w:cs="Segoe UI" w:ascii="Segoe UI" w:hAnsi="Segoe UI"/>
          <w:b/>
          <w:bCs/>
        </w:rPr>
        <w:t xml:space="preserve">Modalità operative: </w:t>
      </w:r>
      <w:r>
        <w:rPr>
          <w:rFonts w:cs="Segoe UI" w:ascii="Segoe UI" w:hAnsi="Segoe UI"/>
        </w:rPr>
        <w:t>il Direttore dell’esecuzione indicherà a mano a mano gli alberi non più vegeti e/o qualitativamente degradati che dovranno essere abbattuti nel più breve tempo possibile, dalla segnalazione formale trasmessa dall'impresa. Immediatamente l'impresa dovrà transennare il terreno interessato dalla eventuale caduta dell'esemplare o di branche appese.</w:t>
      </w:r>
    </w:p>
    <w:p>
      <w:pPr>
        <w:pStyle w:val="BodyText"/>
        <w:spacing w:before="129" w:after="0"/>
        <w:ind w:hanging="0" w:left="1592"/>
        <w:jc w:val="both"/>
        <w:rPr/>
      </w:pPr>
      <w:r>
        <w:rPr>
          <w:rFonts w:cs="Segoe UI" w:ascii="Segoe UI" w:hAnsi="Segoe UI"/>
        </w:rPr>
        <w:t>L'abbattimento avverrà con modalità tali da garantire incolumità pubblica a cose e persone, secondo le vigenti norme in materia di apertura cantieri stradali (es. previa eliminazione di branche e rami, con caduta guidata dei materiali, installazione di barriere di protezione, ecc.).</w:t>
      </w:r>
    </w:p>
    <w:p>
      <w:pPr>
        <w:pStyle w:val="BodyText"/>
        <w:spacing w:before="129" w:after="0"/>
        <w:ind w:hanging="0" w:left="1592"/>
        <w:jc w:val="both"/>
        <w:rPr/>
      </w:pPr>
      <w:r>
        <w:rPr>
          <w:rFonts w:cs="Segoe UI" w:ascii="Segoe UI" w:hAnsi="Segoe UI"/>
        </w:rPr>
        <w:t>Nel caso di segnalazione scritta e/o verbale da parte del Direttore dell’esecuzione, con carattere d’urgenza, l’Appaltatore è tenuto ad intervenire entro la giornata alla delimitazione dell’area, ed entro le 24 ore successive all’abbattimento dell’esemplare, pena la somministrazione della penale prevista.</w:t>
      </w:r>
    </w:p>
    <w:p>
      <w:pPr>
        <w:pStyle w:val="BodyText"/>
        <w:spacing w:before="129" w:after="0"/>
        <w:ind w:hanging="0" w:left="1592"/>
        <w:jc w:val="both"/>
        <w:rPr/>
      </w:pPr>
      <w:r>
        <w:rPr>
          <w:rFonts w:cs="Segoe UI" w:ascii="Segoe UI" w:hAnsi="Segoe UI"/>
        </w:rPr>
        <w:t>L'impresa provvederà a conferire immediatamente il materiale di risulta seguendo in proposito le norme dettate anche dalla Legislazione vigente in materia fito-sanitaria.</w:t>
      </w:r>
    </w:p>
    <w:p>
      <w:pPr>
        <w:pStyle w:val="BodyText"/>
        <w:spacing w:before="129" w:after="0"/>
        <w:ind w:hanging="0" w:left="1592"/>
        <w:jc w:val="both"/>
        <w:rPr/>
      </w:pPr>
      <w:r>
        <w:rPr>
          <w:rFonts w:cs="Segoe UI" w:ascii="Segoe UI" w:hAnsi="Segoe UI"/>
        </w:rPr>
        <w:t>In caso di necessità, su indicazione della Direzione del Servizio, secondo le necessità contingenti, l’impresa provvederà alla rimozione della ceppaia, nei tempi stabiliti dall’ordine di servizio.</w:t>
      </w:r>
    </w:p>
    <w:p>
      <w:pPr>
        <w:pStyle w:val="BodyText"/>
        <w:spacing w:before="129" w:after="0"/>
        <w:ind w:hanging="0" w:left="1592"/>
        <w:jc w:val="both"/>
        <w:rPr/>
      </w:pPr>
      <w:r>
        <w:rPr>
          <w:rFonts w:cs="Segoe UI" w:ascii="Segoe UI" w:hAnsi="Segoe UI"/>
        </w:rPr>
        <w:t>Sono a carico dell'impresa tutte le opere provvisorie (segnaletica, transennamenti, comunicazioni alla vigilanza, cartelli da collocarsi con congrui tempi preventivi) ed ogni forma di informazione preventiva alla cittadinanza, nonché tutte le incombenze istituzionali relative all'agibilità dei traffico veicolare e pedonale.</w:t>
      </w:r>
    </w:p>
    <w:p>
      <w:pPr>
        <w:pStyle w:val="BodyText"/>
        <w:spacing w:before="129" w:after="0"/>
        <w:ind w:hanging="0" w:left="1592"/>
        <w:jc w:val="both"/>
        <w:rPr/>
      </w:pPr>
      <w:r>
        <w:rPr>
          <w:rFonts w:cs="Segoe UI" w:ascii="Segoe UI" w:hAnsi="Segoe UI"/>
        </w:rPr>
        <w:t>Resta inteso che l'impresa dovrà provvedere alla organizzazione dei cantiere in modo tale da minimizzare l'impatto dei lavori sulla mobilità urbana, veicolare e pedonale.</w:t>
      </w:r>
    </w:p>
    <w:p>
      <w:pPr>
        <w:pStyle w:val="BodyText"/>
        <w:spacing w:before="129" w:after="0"/>
        <w:ind w:hanging="0" w:left="1592"/>
        <w:jc w:val="both"/>
        <w:rPr/>
      </w:pPr>
      <w:r>
        <w:rPr>
          <w:rFonts w:cs="Segoe UI" w:ascii="Segoe UI" w:hAnsi="Segoe UI"/>
        </w:rPr>
        <w:t>Per maggiori dettagli tecnici e operativi, si rimanda alla parte 2, prescrizioni tecniche del presente Capitolato speciale d’appalto.</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misura.</w:t>
      </w:r>
    </w:p>
    <w:p>
      <w:pPr>
        <w:pStyle w:val="Normal"/>
        <w:spacing w:before="129" w:after="0"/>
        <w:ind w:hanging="0" w:left="1440"/>
        <w:jc w:val="both"/>
        <w:rPr>
          <w:rFonts w:ascii="Segoe UI" w:hAnsi="Segoe UI" w:cs="Segoe UI"/>
          <w:sz w:val="22"/>
          <w:szCs w:val="22"/>
        </w:rPr>
      </w:pPr>
      <w:r>
        <w:rPr>
          <w:rFonts w:cs="Segoe UI" w:ascii="Segoe UI" w:hAnsi="Segoe UI"/>
          <w:sz w:val="22"/>
          <w:szCs w:val="22"/>
        </w:rPr>
      </w:r>
    </w:p>
    <w:p>
      <w:pPr>
        <w:pStyle w:val="BodyText"/>
        <w:spacing w:before="129" w:after="0"/>
        <w:ind w:hanging="0" w:left="1592"/>
        <w:jc w:val="both"/>
        <w:rPr/>
      </w:pPr>
      <w:r>
        <w:rPr>
          <w:rFonts w:cs="Segoe UI" w:ascii="Segoe UI" w:hAnsi="Segoe UI"/>
          <w:b/>
          <w:bCs/>
          <w:color w:val="C9211E"/>
          <w:sz w:val="24"/>
          <w:szCs w:val="24"/>
        </w:rPr>
        <w:t>LAVORAZIONE 10 (10.1-10.2-10.3)</w:t>
      </w:r>
      <w:r>
        <w:rPr>
          <w:rFonts w:cs="Segoe UI" w:ascii="Segoe UI" w:hAnsi="Segoe UI"/>
          <w:b/>
          <w:bCs/>
          <w:i/>
          <w:iCs/>
          <w:color w:val="C9211E"/>
          <w:sz w:val="24"/>
          <w:szCs w:val="24"/>
        </w:rPr>
        <w:t xml:space="preserve"> Fornitura, messa a dimora, manutenzione e garanzia nuovi alberi</w:t>
      </w:r>
    </w:p>
    <w:p>
      <w:pPr>
        <w:pStyle w:val="BodyText"/>
        <w:spacing w:before="129" w:after="0"/>
        <w:ind w:hanging="0" w:left="1592"/>
        <w:jc w:val="both"/>
        <w:rPr/>
      </w:pPr>
      <w:r>
        <w:rPr>
          <w:rFonts w:cs="Segoe UI" w:ascii="Segoe UI" w:hAnsi="Segoe UI"/>
          <w:b/>
          <w:bCs/>
        </w:rPr>
        <w:t>Piantagione nuove essenze:</w:t>
      </w:r>
      <w:r>
        <w:rPr>
          <w:rFonts w:cs="Segoe UI" w:ascii="Segoe UI" w:hAnsi="Segoe UI"/>
        </w:rPr>
        <w:t xml:space="preserve"> piantagione di nuove essenze e/o sostituzione di alberi già presenti di qualsiasi specie e forma.</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nei periodi climatici adatti al tipo di lavorazione.</w:t>
      </w:r>
    </w:p>
    <w:p>
      <w:pPr>
        <w:pStyle w:val="BodyText"/>
        <w:spacing w:before="129" w:after="0"/>
        <w:ind w:hanging="0" w:left="1592"/>
        <w:jc w:val="both"/>
        <w:rPr/>
      </w:pPr>
      <w:r>
        <w:rPr>
          <w:rFonts w:cs="Segoe UI" w:ascii="Segoe UI" w:hAnsi="Segoe UI"/>
          <w:b/>
          <w:bCs/>
        </w:rPr>
        <w:t xml:space="preserve">Periodicità: </w:t>
      </w:r>
      <w:r>
        <w:rPr>
          <w:rFonts w:cs="Segoe UI" w:ascii="Segoe UI" w:hAnsi="Segoe UI"/>
        </w:rPr>
        <w:t>secondo il cronoprogramma stabilito con il DEC;</w:t>
      </w:r>
    </w:p>
    <w:p>
      <w:pPr>
        <w:pStyle w:val="BodyText"/>
        <w:spacing w:before="129" w:after="0"/>
        <w:ind w:hanging="0" w:left="1592"/>
        <w:jc w:val="both"/>
        <w:rPr/>
      </w:pPr>
      <w:r>
        <w:rPr>
          <w:rFonts w:cs="Segoe UI" w:ascii="Segoe UI" w:hAnsi="Segoe UI"/>
          <w:b/>
          <w:bCs/>
        </w:rPr>
        <w:t xml:space="preserve">Modalità operative: </w:t>
      </w:r>
      <w:r>
        <w:rPr>
          <w:rFonts w:cs="Segoe UI" w:ascii="Segoe UI" w:hAnsi="Segoe UI"/>
        </w:rPr>
        <w:t xml:space="preserve">l’Impresa provvederà alla fornitura di varie essenze in zolla secondo quanto richiesto. La dimensione del fusto sarà quella richiesta. L’intervento è comprensivo di ogni onere, attrezzatura e attrezzo nonché dei materiali complementari necessari. </w:t>
      </w:r>
    </w:p>
    <w:p>
      <w:pPr>
        <w:pStyle w:val="BodyText"/>
        <w:spacing w:before="129" w:after="0"/>
        <w:ind w:hanging="0" w:left="1592"/>
        <w:jc w:val="both"/>
        <w:rPr/>
      </w:pPr>
      <w:r>
        <w:rPr>
          <w:rFonts w:cs="Segoe UI" w:ascii="Segoe UI" w:hAnsi="Segoe UI"/>
        </w:rPr>
        <w:t>Le fasi di lavorazione sono i seguenti:</w:t>
      </w:r>
    </w:p>
    <w:p>
      <w:pPr>
        <w:pStyle w:val="BodyText"/>
        <w:numPr>
          <w:ilvl w:val="2"/>
          <w:numId w:val="2"/>
        </w:numPr>
        <w:spacing w:before="128" w:after="0"/>
        <w:jc w:val="both"/>
        <w:rPr/>
      </w:pPr>
      <w:r>
        <w:rPr>
          <w:rFonts w:cs="Segoe UI" w:ascii="Segoe UI" w:hAnsi="Segoe UI"/>
        </w:rPr>
        <w:t>Le buche per la piantagione delle specie vegetali dovranno avere le dimensioni più ampie possibili in rapporto alla grandezza delle piante da mettere a dimora e dovranno essere, se eseguite con escavatore meccanico, frantumate a mano. La buca di impianto dovrà essere più larga che profonda.</w:t>
      </w:r>
    </w:p>
    <w:p>
      <w:pPr>
        <w:pStyle w:val="BodyText"/>
        <w:numPr>
          <w:ilvl w:val="2"/>
          <w:numId w:val="2"/>
        </w:numPr>
        <w:spacing w:before="128" w:after="0"/>
        <w:jc w:val="both"/>
        <w:rPr/>
      </w:pPr>
      <w:r>
        <w:rPr>
          <w:rFonts w:cs="Segoe UI" w:ascii="Segoe UI" w:hAnsi="Segoe UI"/>
        </w:rPr>
        <w:t>Il materiale proveniente dagli scavi dovrà essere allontanato dalla ditta dalla sede del cantiere e portato alla pubblica discarica o su aree autorizzate.</w:t>
      </w:r>
    </w:p>
    <w:p>
      <w:pPr>
        <w:pStyle w:val="BodyText"/>
        <w:numPr>
          <w:ilvl w:val="2"/>
          <w:numId w:val="2"/>
        </w:numPr>
        <w:spacing w:before="128" w:after="0"/>
        <w:jc w:val="both"/>
        <w:rPr/>
      </w:pPr>
      <w:r>
        <w:rPr>
          <w:rFonts w:cs="Segoe UI" w:ascii="Segoe UI" w:hAnsi="Segoe UI"/>
        </w:rPr>
        <w:t>Nella preparazione delle buche e dei fossi, la ditta dovrà assicurarsi che nella zona in cui le piante svilupperanno le radici non ci siano ristagni di umidità e provvedere che lo scolo delle acque superficiali avvenga in modo corretto.</w:t>
      </w:r>
    </w:p>
    <w:p>
      <w:pPr>
        <w:pStyle w:val="BodyText"/>
        <w:numPr>
          <w:ilvl w:val="2"/>
          <w:numId w:val="2"/>
        </w:numPr>
        <w:spacing w:before="128" w:after="0"/>
        <w:jc w:val="both"/>
        <w:rPr/>
      </w:pPr>
      <w:r>
        <w:rPr>
          <w:rFonts w:cs="Segoe UI" w:ascii="Segoe UI" w:hAnsi="Segoe UI"/>
        </w:rPr>
        <w:t>La quota del colletto dovrà essere allo stesso livello del terreno circostante avendo cura che le piante non presentino radici allo scoperto né risultino, una volta assestatosi il terreno, interrate oltre il livello del colletto.</w:t>
      </w:r>
    </w:p>
    <w:p>
      <w:pPr>
        <w:pStyle w:val="BodyText"/>
        <w:numPr>
          <w:ilvl w:val="2"/>
          <w:numId w:val="2"/>
        </w:numPr>
        <w:spacing w:before="128" w:after="0"/>
        <w:jc w:val="both"/>
        <w:rPr/>
      </w:pPr>
      <w:r>
        <w:rPr>
          <w:rFonts w:cs="Segoe UI" w:ascii="Segoe UI" w:hAnsi="Segoe UI"/>
        </w:rPr>
        <w:t xml:space="preserve">Una volta collocata la pianta sul fondo, la buca di impianto andrà riempita con un volume di terra di coltivo ben miscelata (fuori buca) con terriccio organico (minimo 80 litri di vigorplant universale o similare). </w:t>
      </w:r>
    </w:p>
    <w:p>
      <w:pPr>
        <w:pStyle w:val="BodyText"/>
        <w:numPr>
          <w:ilvl w:val="2"/>
          <w:numId w:val="2"/>
        </w:numPr>
        <w:spacing w:before="128" w:after="0"/>
        <w:jc w:val="both"/>
        <w:rPr/>
      </w:pPr>
      <w:r>
        <w:rPr>
          <w:rFonts w:cs="Segoe UI" w:ascii="Segoe UI" w:hAnsi="Segoe UI"/>
        </w:rPr>
        <w:t>La terra di coltivo dovrà essere certificata tramite analisi di laboratorio chimico/fisica eseguita a cura e spese dell’aggiudicatario e dovrà avere le seguenti caratteristiche: priva di pietre, tronchi, rami, radici e loro parti, che possano ostacolare le lavorazioni agronomiche del terreno dopo la posa.</w:t>
      </w:r>
    </w:p>
    <w:p>
      <w:pPr>
        <w:pStyle w:val="BodyText"/>
        <w:spacing w:before="128" w:after="0"/>
        <w:ind w:hanging="0" w:left="1952"/>
        <w:jc w:val="both"/>
        <w:rPr/>
      </w:pPr>
      <w:r>
        <w:rPr>
          <w:rFonts w:cs="Segoe UI" w:ascii="Segoe UI" w:hAnsi="Segoe UI"/>
        </w:rPr>
        <w:t>Caratteristiche richieste:</w:t>
      </w:r>
    </w:p>
    <w:p>
      <w:pPr>
        <w:pStyle w:val="BodyText"/>
        <w:numPr>
          <w:ilvl w:val="3"/>
          <w:numId w:val="4"/>
        </w:numPr>
        <w:spacing w:before="128" w:after="0"/>
        <w:jc w:val="both"/>
        <w:rPr/>
      </w:pPr>
      <w:r>
        <w:rPr>
          <w:rFonts w:cs="Segoe UI" w:ascii="Segoe UI" w:hAnsi="Segoe UI"/>
        </w:rPr>
        <w:t>Sabbia minima 60%</w:t>
      </w:r>
    </w:p>
    <w:p>
      <w:pPr>
        <w:pStyle w:val="BodyText"/>
        <w:numPr>
          <w:ilvl w:val="3"/>
          <w:numId w:val="4"/>
        </w:numPr>
        <w:spacing w:before="128" w:after="0"/>
        <w:jc w:val="both"/>
        <w:rPr/>
      </w:pPr>
      <w:r>
        <w:rPr>
          <w:rFonts w:cs="Segoe UI" w:ascii="Segoe UI" w:hAnsi="Segoe UI"/>
        </w:rPr>
        <w:t>Argilla massima 20%</w:t>
      </w:r>
    </w:p>
    <w:p>
      <w:pPr>
        <w:pStyle w:val="BodyText"/>
        <w:numPr>
          <w:ilvl w:val="3"/>
          <w:numId w:val="4"/>
        </w:numPr>
        <w:spacing w:before="128" w:after="0"/>
        <w:jc w:val="both"/>
        <w:rPr/>
      </w:pPr>
      <w:r>
        <w:rPr>
          <w:rFonts w:cs="Segoe UI" w:ascii="Segoe UI" w:hAnsi="Segoe UI"/>
        </w:rPr>
        <w:t>Sostanza organica minima 2,5%</w:t>
      </w:r>
    </w:p>
    <w:p>
      <w:pPr>
        <w:pStyle w:val="BodyText"/>
        <w:numPr>
          <w:ilvl w:val="3"/>
          <w:numId w:val="4"/>
        </w:numPr>
        <w:spacing w:before="128" w:after="0"/>
        <w:jc w:val="both"/>
        <w:rPr/>
      </w:pPr>
      <w:r>
        <w:rPr>
          <w:rFonts w:cs="Segoe UI" w:ascii="Segoe UI" w:hAnsi="Segoe UI"/>
        </w:rPr>
        <w:t>pH ideale 6,5-7,5</w:t>
      </w:r>
    </w:p>
    <w:p>
      <w:pPr>
        <w:pStyle w:val="BodyText"/>
        <w:numPr>
          <w:ilvl w:val="2"/>
          <w:numId w:val="2"/>
        </w:numPr>
        <w:spacing w:before="128" w:after="0"/>
        <w:jc w:val="both"/>
        <w:rPr/>
      </w:pPr>
      <w:r>
        <w:rPr>
          <w:rFonts w:cs="Segoe UI" w:ascii="Segoe UI" w:hAnsi="Segoe UI"/>
        </w:rPr>
        <w:t xml:space="preserve">L’imballo della zolla (qualsiasi esso sia) dovrà essere rimosso totalmente. </w:t>
      </w:r>
    </w:p>
    <w:p>
      <w:pPr>
        <w:pStyle w:val="BodyText"/>
        <w:numPr>
          <w:ilvl w:val="2"/>
          <w:numId w:val="2"/>
        </w:numPr>
        <w:spacing w:before="128" w:after="0"/>
        <w:jc w:val="both"/>
        <w:rPr/>
      </w:pPr>
      <w:r>
        <w:rPr>
          <w:rFonts w:cs="Segoe UI" w:ascii="Segoe UI" w:hAnsi="Segoe UI"/>
        </w:rPr>
        <w:t xml:space="preserve">Il DL potrà a suo insindacabile giudizio, far rimuovere tutta la terra della zolla </w:t>
      </w:r>
    </w:p>
    <w:p>
      <w:pPr>
        <w:pStyle w:val="BodyText"/>
        <w:numPr>
          <w:ilvl w:val="2"/>
          <w:numId w:val="2"/>
        </w:numPr>
        <w:spacing w:before="128" w:after="0"/>
        <w:jc w:val="both"/>
        <w:rPr/>
      </w:pPr>
      <w:r>
        <w:rPr>
          <w:rFonts w:cs="Segoe UI" w:ascii="Segoe UI" w:hAnsi="Segoe UI"/>
        </w:rPr>
        <w:t>così da piantare gli alberi a radice nuda.</w:t>
      </w:r>
    </w:p>
    <w:p>
      <w:pPr>
        <w:pStyle w:val="BodyText"/>
        <w:numPr>
          <w:ilvl w:val="2"/>
          <w:numId w:val="2"/>
        </w:numPr>
        <w:spacing w:before="128" w:after="0"/>
        <w:jc w:val="both"/>
        <w:rPr/>
      </w:pPr>
      <w:r>
        <w:rPr>
          <w:rFonts w:cs="Segoe UI" w:ascii="Segoe UI" w:hAnsi="Segoe UI"/>
        </w:rPr>
        <w:t>Le piante dovranno essere collocate ed orientate in modo da ottenere il miglior risultato estetico e tecnico in relazione agli scopi della sistemazione.</w:t>
      </w:r>
    </w:p>
    <w:p>
      <w:pPr>
        <w:pStyle w:val="BodyText"/>
        <w:numPr>
          <w:ilvl w:val="2"/>
          <w:numId w:val="2"/>
        </w:numPr>
        <w:spacing w:before="128" w:after="0"/>
        <w:jc w:val="both"/>
        <w:rPr/>
      </w:pPr>
      <w:r>
        <w:rPr>
          <w:rFonts w:cs="Segoe UI" w:ascii="Segoe UI" w:hAnsi="Segoe UI"/>
        </w:rPr>
        <w:t xml:space="preserve">Prima del riempimento definitivo delle buche, gli alberi dovranno essere resi stabili per mezzo di ancoraggi, legature, pali di sostegno in numero e dimensioni proporzionali alla dimensione della pianta.  </w:t>
      </w:r>
    </w:p>
    <w:p>
      <w:pPr>
        <w:pStyle w:val="BodyText"/>
        <w:numPr>
          <w:ilvl w:val="2"/>
          <w:numId w:val="2"/>
        </w:numPr>
        <w:spacing w:before="128" w:after="0"/>
        <w:jc w:val="both"/>
        <w:rPr/>
      </w:pPr>
      <w:r>
        <w:rPr>
          <w:rFonts w:cs="Segoe UI" w:ascii="Segoe UI" w:hAnsi="Segoe UI"/>
        </w:rPr>
        <w:t>Il fissaggio non dovrà conferire rigidità assoluta alla pianta ma lasciare un agio di flessione del fusto (il punto di legatura tra pali tutori e pianta non dovrà superare, in altezza rispetto al colletto, un terzo dell'altezza totale della pianta - es: se una pianta è alta 300 cm legare, al max, a 100 cm).</w:t>
      </w:r>
    </w:p>
    <w:p>
      <w:pPr>
        <w:pStyle w:val="BodyText"/>
        <w:numPr>
          <w:ilvl w:val="2"/>
          <w:numId w:val="2"/>
        </w:numPr>
        <w:spacing w:before="128" w:after="0"/>
        <w:jc w:val="both"/>
        <w:rPr/>
      </w:pPr>
      <w:r>
        <w:rPr>
          <w:rFonts w:cs="Segoe UI" w:ascii="Segoe UI" w:hAnsi="Segoe UI"/>
        </w:rPr>
        <w:t xml:space="preserve">Le legature dovranno rendere solidali le piante ai pali di sostegno e agli ancoraggi, pur consentendone l'eventuale assestamento, al fine di non provocare strozzature al tronco, dovranno essere realizzate per mezzo di collari speciali o di adatto materiale elastico (es. cinture di gomma, nastri di plastica, ecc.) oppure, in subordine, con corda di canapa (mai filo di ferro o altro materiale inestensibile). </w:t>
      </w:r>
    </w:p>
    <w:p>
      <w:pPr>
        <w:pStyle w:val="BodyText"/>
        <w:numPr>
          <w:ilvl w:val="2"/>
          <w:numId w:val="2"/>
        </w:numPr>
        <w:spacing w:before="128" w:after="0"/>
        <w:jc w:val="both"/>
        <w:rPr/>
      </w:pPr>
      <w:r>
        <w:rPr>
          <w:rFonts w:cs="Segoe UI" w:ascii="Segoe UI" w:hAnsi="Segoe UI"/>
        </w:rPr>
        <w:t xml:space="preserve">Per evitare danni alla corteccia, potrà essere necessario interporre, fra tutore e tronco, un cuscinetto antifrizione di adatto materiale. </w:t>
      </w:r>
    </w:p>
    <w:p>
      <w:pPr>
        <w:pStyle w:val="BodyText"/>
        <w:numPr>
          <w:ilvl w:val="2"/>
          <w:numId w:val="2"/>
        </w:numPr>
        <w:spacing w:before="128" w:after="0"/>
        <w:jc w:val="both"/>
        <w:rPr/>
      </w:pPr>
      <w:r>
        <w:rPr>
          <w:rFonts w:cs="Segoe UI" w:ascii="Segoe UI" w:hAnsi="Segoe UI"/>
        </w:rPr>
        <w:t>A riempimento ultimato, attorno alle piante dovrà essere formata una conca o bacino per la ritenzione dell'acqua da addurre subito dopo in quantità abbondante, onde favorire la ripresa della pianta e facilitare il costipamento e l'assestamento della terra attorno alle radici e alla zolla. Sul tronco dell’albero dovranno essere poste, a protezione, delle arelle tipo bambù o similari.</w:t>
      </w:r>
    </w:p>
    <w:p>
      <w:pPr>
        <w:pStyle w:val="BodyText"/>
        <w:spacing w:before="129" w:after="0"/>
        <w:ind w:hanging="0" w:left="1592"/>
        <w:jc w:val="both"/>
        <w:rPr/>
      </w:pPr>
      <w:r>
        <w:rPr>
          <w:rFonts w:cs="Segoe UI" w:ascii="Segoe UI" w:hAnsi="Segoe UI"/>
        </w:rPr>
        <w:t>Per maggiori dettagli tecnici e operativi, si rimanda alla parte 2, prescrizioni tecniche del presente Capitolato speciale d’appalto.</w:t>
      </w:r>
    </w:p>
    <w:p>
      <w:pPr>
        <w:pStyle w:val="BodyText"/>
        <w:spacing w:before="129" w:after="0"/>
        <w:ind w:hanging="0" w:left="1592"/>
        <w:jc w:val="both"/>
        <w:rPr/>
      </w:pPr>
      <w:r>
        <w:rPr>
          <w:rFonts w:cs="Segoe UI" w:ascii="Segoe UI" w:hAnsi="Segoe UI"/>
        </w:rPr>
        <w:t xml:space="preserve">Il DEC può disporre la </w:t>
      </w:r>
      <w:r>
        <w:rPr>
          <w:rFonts w:cs="Segoe UI" w:ascii="Segoe UI" w:hAnsi="Segoe UI"/>
          <w:b/>
          <w:bCs/>
        </w:rPr>
        <w:t>manutenzione post trapianto per due anni</w:t>
      </w:r>
      <w:r>
        <w:rPr>
          <w:rFonts w:cs="Segoe UI" w:ascii="Segoe UI" w:hAnsi="Segoe UI"/>
        </w:rPr>
        <w:t xml:space="preserve"> delle essenze piantate. In tal caso è necessario che le cure colturali avvengano con puntualità. in particolare, le annaffiature devono essere eseguite da aprile ad ottobre, salvo casi di periodi siccitosi che si dovessero verificare nel periodo invernale. La quantità di acqua non deve essere inferiore ai 40+40 litri per pianta con doppia bagnatura nella stessa giornata. Il numero delle bagnature nel periodo compreso deve essere non inferiore a 15 interventi. Si dovrà garantire la pulizia periodica del tornello e qualora fosse necessario il ripristino dello stesso. È compresa la saturazione delle fessure dovute all'assestamento definitivo della zolla, il ripristino, il controllo dei pali tutori e dei teli di juta, concimazioni e trattamenti fitoiatrici. È compresa la garanzia di attecchimento degli alberi, compresa la sostituzione delle piante non vegete, in modo da consegnare, alla fine del periodo di manutenzione, tutte le piante oggetto di trapianto in buone condizioni vegetative : per piante di circ. sino a 20 cm</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misura.</w:t>
      </w:r>
    </w:p>
    <w:p>
      <w:pPr>
        <w:pStyle w:val="Normal"/>
        <w:spacing w:before="129" w:after="0"/>
        <w:ind w:hanging="0" w:left="1440"/>
        <w:jc w:val="both"/>
        <w:rPr>
          <w:rFonts w:ascii="Segoe UI" w:hAnsi="Segoe UI" w:cs="Segoe UI"/>
          <w:sz w:val="22"/>
          <w:szCs w:val="22"/>
        </w:rPr>
      </w:pPr>
      <w:r>
        <w:rPr>
          <w:rFonts w:cs="Segoe UI" w:ascii="Segoe UI" w:hAnsi="Segoe UI"/>
          <w:sz w:val="22"/>
          <w:szCs w:val="22"/>
        </w:rPr>
      </w:r>
    </w:p>
    <w:p>
      <w:pPr>
        <w:pStyle w:val="BodyText"/>
        <w:spacing w:before="129" w:after="0"/>
        <w:ind w:hanging="0" w:left="1592"/>
        <w:jc w:val="both"/>
        <w:rPr/>
      </w:pPr>
      <w:r>
        <w:rPr>
          <w:rFonts w:cs="Segoe UI" w:ascii="Segoe UI" w:hAnsi="Segoe UI"/>
          <w:b/>
          <w:bCs/>
          <w:color w:val="C9211E"/>
          <w:sz w:val="24"/>
          <w:szCs w:val="24"/>
        </w:rPr>
        <w:t>LAVORAZIONE 11 (11.1-11.2-11.3)</w:t>
      </w:r>
      <w:r>
        <w:rPr>
          <w:rFonts w:cs="Segoe UI" w:ascii="Segoe UI" w:hAnsi="Segoe UI"/>
          <w:b/>
          <w:bCs/>
          <w:i/>
          <w:iCs/>
          <w:color w:val="C9211E"/>
          <w:sz w:val="24"/>
          <w:szCs w:val="24"/>
        </w:rPr>
        <w:t xml:space="preserve"> Manutenzione e gestione aiuole fiorite, perenni, vasi/fioriere.</w:t>
      </w:r>
    </w:p>
    <w:p>
      <w:pPr>
        <w:pStyle w:val="BodyText"/>
        <w:spacing w:before="129" w:after="0"/>
        <w:ind w:hanging="0" w:left="1592"/>
        <w:jc w:val="both"/>
        <w:rPr/>
      </w:pPr>
      <w:r>
        <w:rPr>
          <w:rFonts w:cs="Segoe UI" w:ascii="Segoe UI" w:hAnsi="Segoe UI"/>
          <w:b/>
          <w:bCs/>
        </w:rPr>
        <w:t xml:space="preserve">Manutenzione aiuole e fioriere: </w:t>
      </w:r>
      <w:r>
        <w:rPr>
          <w:rFonts w:cs="Segoe UI" w:ascii="Segoe UI" w:hAnsi="Segoe UI"/>
        </w:rPr>
        <w:t>l'intervento prevede la manutenzione completa delle aiuole, delle fioriere, e dei vasi inseriti nell’allegato A3, con potatura della chioma, rimonda del secco, sostituzione di essenze morte o deperite; accensione, spegnimento, manutenzione e sostituzione delle centraline di comando degli impianti di irrigazione a goccia presenti, comprensivo dell’onere della manodopera, trasporti, noleggi e quant’altro necessario per dare il lavoro finito a regola d’arte.</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costante;</w:t>
      </w:r>
    </w:p>
    <w:p>
      <w:pPr>
        <w:pStyle w:val="BodyText"/>
        <w:spacing w:before="129" w:after="0"/>
        <w:ind w:hanging="0" w:left="1592"/>
        <w:jc w:val="both"/>
        <w:rPr/>
      </w:pPr>
      <w:r>
        <w:rPr>
          <w:rFonts w:cs="Segoe UI" w:ascii="Segoe UI" w:hAnsi="Segoe UI"/>
          <w:b/>
          <w:bCs/>
        </w:rPr>
        <w:t xml:space="preserve">Periodicità: </w:t>
      </w:r>
      <w:r>
        <w:rPr>
          <w:rFonts w:cs="Segoe UI" w:ascii="Segoe UI" w:hAnsi="Segoe UI"/>
        </w:rPr>
        <w:t>intervento settimanale di manutenzione delle aiuole e delle fioriere;</w:t>
      </w:r>
    </w:p>
    <w:p>
      <w:pPr>
        <w:pStyle w:val="BodyText"/>
        <w:spacing w:before="129" w:after="0"/>
        <w:ind w:hanging="0" w:left="1592"/>
        <w:jc w:val="both"/>
        <w:rPr/>
      </w:pPr>
      <w:r>
        <w:rPr>
          <w:rFonts w:cs="Segoe UI" w:ascii="Segoe UI" w:hAnsi="Segoe UI"/>
          <w:b/>
          <w:bCs/>
        </w:rPr>
        <w:t xml:space="preserve">Modalità operative: </w:t>
      </w:r>
      <w:r>
        <w:rPr>
          <w:rFonts w:cs="Segoe UI" w:ascii="Segoe UI" w:hAnsi="Segoe UI"/>
        </w:rPr>
        <w:t xml:space="preserve"> secondo le modalità previste dall’art. 5 del CSA 2: prescrizioni tecniche.</w:t>
      </w:r>
    </w:p>
    <w:p>
      <w:pPr>
        <w:pStyle w:val="BodyText"/>
        <w:spacing w:before="129" w:after="0"/>
        <w:ind w:hanging="0" w:left="1592"/>
        <w:jc w:val="both"/>
        <w:rPr>
          <w:rFonts w:ascii="Segoe UI" w:hAnsi="Segoe UI" w:cs="Segoe UI"/>
        </w:rPr>
      </w:pPr>
      <w:r>
        <w:rPr>
          <w:rFonts w:cs="Segoe UI" w:ascii="Segoe UI" w:hAnsi="Segoe UI"/>
          <w:b/>
          <w:bCs/>
        </w:rPr>
        <w:t xml:space="preserve">Dimensionamento della lavorazione: </w:t>
      </w:r>
      <w:r>
        <w:rPr>
          <w:rFonts w:cs="Segoe UI" w:ascii="Segoe UI" w:hAnsi="Segoe UI"/>
        </w:rPr>
        <w:t>a corpo.</w:t>
      </w:r>
    </w:p>
    <w:p>
      <w:pPr>
        <w:pStyle w:val="BodyText"/>
        <w:spacing w:before="129" w:after="0"/>
        <w:ind w:hanging="0" w:left="1592"/>
        <w:jc w:val="both"/>
        <w:rPr>
          <w:rFonts w:ascii="Segoe UI" w:hAnsi="Segoe UI" w:cs="Segoe UI"/>
          <w:b/>
          <w:bCs/>
          <w:color w:val="C9211E"/>
          <w:sz w:val="24"/>
          <w:szCs w:val="24"/>
        </w:rPr>
      </w:pPr>
      <w:r>
        <w:rPr>
          <w:rFonts w:cs="Segoe UI" w:ascii="Segoe UI" w:hAnsi="Segoe UI"/>
          <w:b/>
          <w:bCs/>
          <w:color w:val="C9211E"/>
          <w:sz w:val="24"/>
          <w:szCs w:val="24"/>
        </w:rPr>
      </w:r>
    </w:p>
    <w:p>
      <w:pPr>
        <w:pStyle w:val="BodyText"/>
        <w:spacing w:before="129" w:after="0"/>
        <w:ind w:hanging="0" w:left="1592"/>
        <w:jc w:val="both"/>
        <w:rPr/>
      </w:pPr>
      <w:r>
        <w:rPr>
          <w:rFonts w:cs="Segoe UI" w:ascii="Segoe UI" w:hAnsi="Segoe UI"/>
          <w:b/>
          <w:bCs/>
          <w:color w:val="C9211E"/>
          <w:sz w:val="24"/>
          <w:szCs w:val="24"/>
        </w:rPr>
        <w:t>LAVORAZIONE 12</w:t>
      </w:r>
      <w:r>
        <w:rPr>
          <w:rFonts w:cs="Segoe UI" w:ascii="Segoe UI" w:hAnsi="Segoe UI"/>
          <w:b/>
          <w:bCs/>
          <w:i/>
          <w:iCs/>
          <w:color w:val="C9211E"/>
          <w:sz w:val="24"/>
          <w:szCs w:val="24"/>
        </w:rPr>
        <w:t xml:space="preserve"> Raccolta foglie in parchi, giardini, aiuole</w:t>
      </w:r>
    </w:p>
    <w:p>
      <w:pPr>
        <w:pStyle w:val="BodyText"/>
        <w:spacing w:before="129" w:after="0"/>
        <w:ind w:hanging="0" w:left="1592"/>
        <w:jc w:val="both"/>
        <w:rPr/>
      </w:pPr>
      <w:r>
        <w:rPr>
          <w:rFonts w:cs="Segoe UI" w:ascii="Segoe UI" w:hAnsi="Segoe UI"/>
          <w:b/>
          <w:bCs/>
        </w:rPr>
        <w:t xml:space="preserve">Raccolta foglie: </w:t>
      </w:r>
      <w:r>
        <w:rPr>
          <w:rFonts w:cs="Segoe UI" w:ascii="Segoe UI" w:hAnsi="Segoe UI"/>
        </w:rPr>
        <w:t>l’intervento comprende la raccolta delle foglie nelle aree a verde su indicazione del DEC, compresa la raccolta delle foglie sui vialetti interni e marciapiedi perimetrali all’area verde.</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autunno/inverno per ogni annualità;</w:t>
      </w:r>
    </w:p>
    <w:p>
      <w:pPr>
        <w:pStyle w:val="BodyText"/>
        <w:spacing w:before="129" w:after="0"/>
        <w:ind w:hanging="0" w:left="1592"/>
        <w:jc w:val="both"/>
        <w:rPr/>
      </w:pPr>
      <w:r>
        <w:rPr>
          <w:rFonts w:cs="Segoe UI" w:ascii="Segoe UI" w:hAnsi="Segoe UI"/>
          <w:b/>
          <w:bCs/>
        </w:rPr>
        <w:t xml:space="preserve">Periodicità: </w:t>
      </w:r>
      <w:r>
        <w:rPr>
          <w:rFonts w:cs="Segoe UI" w:ascii="Segoe UI" w:hAnsi="Segoe UI"/>
        </w:rPr>
        <w:t>secondo il cronoprogramma concordato con il Direttore dell’esecuzione. Il Direttore indicherà il periodo dell'esecuzione dell’intervento, differenziandone eventualmente la frequenza a seconda dei tempi di filloptosi di ciascuna specie vegetale. In caso di necessità, dopo segnalazione scritta del Direttore dell’esecuzione, potrà essere richiesta una raccolta straordinaria delle foglie in aree interessate da manifestazioni o da eventi imprevedibili e straordinari, al di fuori del cronoprogramma stabilito.</w:t>
      </w:r>
    </w:p>
    <w:p>
      <w:pPr>
        <w:pStyle w:val="BodyText"/>
        <w:spacing w:before="129" w:after="0"/>
        <w:ind w:hanging="0" w:left="1592"/>
        <w:jc w:val="both"/>
        <w:rPr/>
      </w:pPr>
      <w:r>
        <w:rPr>
          <w:rFonts w:cs="Segoe UI" w:ascii="Segoe UI" w:hAnsi="Segoe UI"/>
          <w:b/>
          <w:bCs/>
        </w:rPr>
        <w:t xml:space="preserve">Modalità operative: </w:t>
      </w:r>
      <w:r>
        <w:rPr>
          <w:rFonts w:cs="Segoe UI" w:ascii="Segoe UI" w:hAnsi="Segoe UI"/>
        </w:rPr>
        <w:t xml:space="preserve">l’impresa potrà utilizzare per la raccolta delle foglie i vari mezzi meccanici adatti a tale scopo o in alternativa la raccolta manuale secondo quanto stabilito con il Direttore dell’esecuzione. Il materiale di risulta dovrà essere rimosso dall’area oggetto del servizio entro la giornata d’intervento e andrà smaltito alle PP.DD. </w:t>
      </w:r>
    </w:p>
    <w:p>
      <w:pPr>
        <w:pStyle w:val="BodyText"/>
        <w:spacing w:before="129" w:after="0"/>
        <w:ind w:hanging="0" w:left="1592"/>
        <w:jc w:val="both"/>
        <w:rPr/>
      </w:pPr>
      <w:r>
        <w:rPr>
          <w:rFonts w:cs="Segoe UI" w:ascii="Segoe UI" w:hAnsi="Segoe UI"/>
        </w:rPr>
        <w:t>Per maggiori dettagli tecnici e operativi, si rimanda alla parte 2, prescrizioni tecniche del presente Capitolato speciale d’appalto.</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misura.</w:t>
      </w:r>
    </w:p>
    <w:p>
      <w:pPr>
        <w:pStyle w:val="BodyText"/>
        <w:spacing w:before="129" w:after="0"/>
        <w:ind w:hanging="0" w:left="1592"/>
        <w:jc w:val="both"/>
        <w:rPr>
          <w:rFonts w:ascii="Segoe UI" w:hAnsi="Segoe UI" w:cs="Segoe UI"/>
          <w:b/>
          <w:bCs/>
          <w:color w:val="C9211E"/>
          <w:sz w:val="24"/>
          <w:szCs w:val="24"/>
        </w:rPr>
      </w:pPr>
      <w:r>
        <w:rPr>
          <w:rFonts w:cs="Segoe UI" w:ascii="Segoe UI" w:hAnsi="Segoe UI"/>
          <w:b/>
          <w:bCs/>
          <w:color w:val="C9211E"/>
          <w:sz w:val="24"/>
          <w:szCs w:val="24"/>
        </w:rPr>
      </w:r>
    </w:p>
    <w:p>
      <w:pPr>
        <w:pStyle w:val="BodyText"/>
        <w:spacing w:before="129" w:after="0"/>
        <w:ind w:hanging="0" w:left="1592"/>
        <w:jc w:val="both"/>
        <w:rPr/>
      </w:pPr>
      <w:r>
        <w:rPr>
          <w:rFonts w:cs="Segoe UI" w:ascii="Segoe UI" w:hAnsi="Segoe UI"/>
          <w:b/>
          <w:bCs/>
          <w:color w:val="C9211E"/>
          <w:sz w:val="24"/>
          <w:szCs w:val="24"/>
        </w:rPr>
        <w:t>LAVORAZIONE 13</w:t>
      </w:r>
      <w:r>
        <w:rPr>
          <w:rFonts w:cs="Segoe UI" w:ascii="Segoe UI" w:hAnsi="Segoe UI"/>
          <w:b/>
          <w:bCs/>
          <w:i/>
          <w:iCs/>
          <w:color w:val="C9211E"/>
          <w:sz w:val="24"/>
          <w:szCs w:val="24"/>
        </w:rPr>
        <w:t xml:space="preserve"> Manutenzione Roggia Bertolera</w:t>
      </w:r>
    </w:p>
    <w:p>
      <w:pPr>
        <w:pStyle w:val="BodyText"/>
        <w:spacing w:before="129" w:after="0"/>
        <w:ind w:hanging="0" w:left="1592"/>
        <w:jc w:val="both"/>
        <w:rPr/>
      </w:pPr>
      <w:r>
        <w:rPr>
          <w:rFonts w:cs="Segoe UI" w:ascii="Segoe UI" w:hAnsi="Segoe UI"/>
          <w:b/>
          <w:bCs/>
        </w:rPr>
        <w:t xml:space="preserve">Manutenzione roggia Bertolera: </w:t>
      </w:r>
      <w:r>
        <w:rPr>
          <w:rFonts w:cs="Segoe UI" w:ascii="Segoe UI" w:hAnsi="Segoe UI"/>
        </w:rPr>
        <w:t>l’intervento consiste nella manutenzione del tratto della roggia Bertolera di competenza comunale con la pulizia del fondo e delle sponde del laghetto posto all'interno del parco di Via Milano/Mozart, come individuato nell’Allegato A1.B.</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costante;</w:t>
      </w:r>
    </w:p>
    <w:p>
      <w:pPr>
        <w:pStyle w:val="BodyText"/>
        <w:spacing w:before="129" w:after="0"/>
        <w:ind w:hanging="0" w:left="1592"/>
        <w:jc w:val="both"/>
        <w:rPr/>
      </w:pPr>
      <w:r>
        <w:rPr>
          <w:rFonts w:cs="Segoe UI" w:ascii="Segoe UI" w:hAnsi="Segoe UI"/>
          <w:b/>
          <w:bCs/>
        </w:rPr>
        <w:t xml:space="preserve">Periodicità: </w:t>
      </w:r>
    </w:p>
    <w:p>
      <w:pPr>
        <w:pStyle w:val="BodyText"/>
        <w:numPr>
          <w:ilvl w:val="2"/>
          <w:numId w:val="3"/>
        </w:numPr>
        <w:spacing w:before="129" w:after="0"/>
        <w:jc w:val="both"/>
        <w:rPr/>
      </w:pPr>
      <w:r>
        <w:rPr>
          <w:rFonts w:cs="Segoe UI" w:ascii="Segoe UI" w:hAnsi="Segoe UI"/>
        </w:rPr>
        <w:t>verifica e pulizia settimanale (se necessario) delle griglie della roggia Bertolera;</w:t>
      </w:r>
    </w:p>
    <w:p>
      <w:pPr>
        <w:pStyle w:val="BodyText"/>
        <w:numPr>
          <w:ilvl w:val="2"/>
          <w:numId w:val="3"/>
        </w:numPr>
        <w:spacing w:before="129" w:after="0"/>
        <w:jc w:val="both"/>
        <w:rPr/>
      </w:pPr>
      <w:r>
        <w:rPr>
          <w:rFonts w:cs="Segoe UI" w:ascii="Segoe UI" w:hAnsi="Segoe UI"/>
        </w:rPr>
        <w:t>n. 1 intervento di spurgo annuo per la pulizia del laghetto e dei tratti del canale della roggia Bertolera, nel periodo di chiusura del Naviglio Martesana.</w:t>
      </w:r>
    </w:p>
    <w:p>
      <w:pPr>
        <w:pStyle w:val="BodyText"/>
        <w:spacing w:before="129" w:after="0"/>
        <w:ind w:hanging="0" w:left="1592"/>
        <w:jc w:val="both"/>
        <w:rPr/>
      </w:pPr>
      <w:r>
        <w:rPr>
          <w:rFonts w:cs="Segoe UI" w:ascii="Segoe UI" w:hAnsi="Segoe UI"/>
          <w:b/>
          <w:bCs/>
        </w:rPr>
        <w:t xml:space="preserve">Modalità operative: </w:t>
      </w:r>
    </w:p>
    <w:p>
      <w:pPr>
        <w:pStyle w:val="BodyText"/>
        <w:numPr>
          <w:ilvl w:val="0"/>
          <w:numId w:val="0"/>
        </w:numPr>
        <w:spacing w:before="129" w:after="0"/>
        <w:ind w:hanging="0" w:left="1800"/>
        <w:jc w:val="both"/>
        <w:rPr/>
      </w:pPr>
      <w:r>
        <w:rPr>
          <w:rFonts w:cs="Segoe UI" w:ascii="Segoe UI" w:hAnsi="Segoe UI"/>
        </w:rPr>
        <w:t>pulizia delle griglie poste agli imbocchi dei tratti interrati a cadenza settimanale con ausilio esclusivo di attrezzi manuali, quali forche, rampini, ecc., carico, trasporto e smaltimento del rifiuto alle PP.DD.;</w:t>
      </w:r>
    </w:p>
    <w:p>
      <w:pPr>
        <w:pStyle w:val="BodyText"/>
        <w:numPr>
          <w:ilvl w:val="0"/>
          <w:numId w:val="0"/>
        </w:numPr>
        <w:spacing w:before="129" w:after="0"/>
        <w:ind w:hanging="0" w:left="1800"/>
        <w:jc w:val="both"/>
        <w:rPr/>
      </w:pPr>
      <w:r>
        <w:rPr>
          <w:rFonts w:cs="Segoe UI" w:ascii="Segoe UI" w:hAnsi="Segoe UI"/>
        </w:rPr>
        <w:t>lavoro di spurgo del tratto di roggia e del laghetto della roggia Bertolera, Via Milano, con l’impiego di escavatori tipo Kamo, carico, trasporto e smaltimento del materiale di risulta alle PP.DD., manodopera e quant’altro necessario, compresi i ripristini del prato, delle sponde, ecc. rovinati dalle lavorazioni, da eseguirsi nel periodo di chiusura del Naviglio Martesana;</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corpo.</w:t>
      </w:r>
    </w:p>
    <w:p>
      <w:pPr>
        <w:pStyle w:val="Normal"/>
        <w:spacing w:before="129" w:after="0"/>
        <w:ind w:hanging="0" w:left="1440"/>
        <w:jc w:val="both"/>
        <w:rPr>
          <w:rFonts w:ascii="Segoe UI" w:hAnsi="Segoe UI" w:cs="Segoe UI"/>
          <w:sz w:val="22"/>
          <w:szCs w:val="22"/>
        </w:rPr>
      </w:pPr>
      <w:r>
        <w:rPr>
          <w:rFonts w:cs="Segoe UI" w:ascii="Segoe UI" w:hAnsi="Segoe UI"/>
          <w:sz w:val="22"/>
          <w:szCs w:val="22"/>
        </w:rPr>
      </w:r>
    </w:p>
    <w:p>
      <w:pPr>
        <w:pStyle w:val="BodyText"/>
        <w:spacing w:before="129" w:after="0"/>
        <w:ind w:hanging="0" w:left="1592"/>
        <w:jc w:val="both"/>
        <w:rPr/>
      </w:pPr>
      <w:r>
        <w:rPr>
          <w:rFonts w:cs="Segoe UI" w:ascii="Segoe UI" w:hAnsi="Segoe UI"/>
          <w:b/>
          <w:bCs/>
          <w:color w:val="C9211E"/>
          <w:sz w:val="24"/>
          <w:szCs w:val="24"/>
        </w:rPr>
        <w:t>LAVORAZIONE 14</w:t>
      </w:r>
      <w:r>
        <w:rPr>
          <w:rFonts w:cs="Segoe UI" w:ascii="Segoe UI" w:hAnsi="Segoe UI"/>
          <w:b/>
          <w:bCs/>
          <w:i/>
          <w:iCs/>
          <w:color w:val="C9211E"/>
          <w:sz w:val="24"/>
          <w:szCs w:val="24"/>
        </w:rPr>
        <w:t xml:space="preserve"> Irrigazione di soccorso giovani alberi esistenti</w:t>
      </w:r>
    </w:p>
    <w:p>
      <w:pPr>
        <w:pStyle w:val="BodyText"/>
        <w:spacing w:before="129" w:after="0"/>
        <w:ind w:hanging="0" w:left="1592"/>
        <w:jc w:val="both"/>
        <w:rPr/>
      </w:pPr>
      <w:r>
        <w:rPr>
          <w:rFonts w:cs="Segoe UI" w:ascii="Segoe UI" w:hAnsi="Segoe UI"/>
          <w:b/>
          <w:bCs/>
        </w:rPr>
        <w:t xml:space="preserve">Irrigazione di soccorso: </w:t>
      </w:r>
      <w:r>
        <w:rPr>
          <w:rFonts w:cs="Segoe UI" w:ascii="Segoe UI" w:hAnsi="Segoe UI"/>
        </w:rPr>
        <w:t>a mezzo autobotte e/o allacciamenti idrici a contatore di alberi ovunque ubicati di recente impianto (1/3 anni dal trapianto): standard  40+40 litri per pianta con doppia bagnatura nella stessa giornata.</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secondo le necessità climatiche stagionali, in accordo con il Direttore dell’esecuzione;</w:t>
      </w:r>
    </w:p>
    <w:p>
      <w:pPr>
        <w:pStyle w:val="BodyText"/>
        <w:spacing w:before="129" w:after="0"/>
        <w:ind w:hanging="0" w:left="1592"/>
        <w:jc w:val="both"/>
        <w:rPr/>
      </w:pPr>
      <w:r>
        <w:rPr>
          <w:rFonts w:cs="Segoe UI" w:ascii="Segoe UI" w:hAnsi="Segoe UI"/>
          <w:b/>
          <w:bCs/>
        </w:rPr>
        <w:t xml:space="preserve">Periodicità: </w:t>
      </w:r>
      <w:r>
        <w:rPr>
          <w:rFonts w:cs="Segoe UI" w:ascii="Segoe UI" w:hAnsi="Segoe UI"/>
        </w:rPr>
        <w:t>n. 1 intervento settimanale; su richiesta del Direttore dell’esecuzione potranno essere richiesti interventi bi e/o tri-settimanali.</w:t>
      </w:r>
    </w:p>
    <w:p>
      <w:pPr>
        <w:pStyle w:val="BodyText"/>
        <w:spacing w:before="129" w:after="0"/>
        <w:ind w:hanging="0" w:left="1592"/>
        <w:jc w:val="both"/>
        <w:rPr/>
      </w:pPr>
      <w:r>
        <w:rPr>
          <w:rFonts w:cs="Segoe UI" w:ascii="Segoe UI" w:hAnsi="Segoe UI"/>
          <w:b/>
          <w:bCs/>
        </w:rPr>
        <w:t xml:space="preserve">Modalità operative: </w:t>
      </w:r>
      <w:r>
        <w:rPr>
          <w:rFonts w:cs="Segoe UI" w:ascii="Segoe UI" w:hAnsi="Segoe UI"/>
        </w:rPr>
        <w:t>l'intervento interessa tutti gli alberi posti sul territorio oggetto di appalto (ivi comprese le alberature stradali) a qualunque titolo presenti (e quindi, messe a dimora, da qualsiasi ditta, personale comunale o/e volontariato) in sostituzione, reimpianto, integrazione dei patrimonio vegetale arboreo.</w:t>
      </w:r>
    </w:p>
    <w:p>
      <w:pPr>
        <w:pStyle w:val="BodyText"/>
        <w:spacing w:before="129" w:after="0"/>
        <w:ind w:hanging="0" w:left="1592"/>
        <w:jc w:val="both"/>
        <w:rPr/>
      </w:pPr>
      <w:r>
        <w:rPr>
          <w:rFonts w:cs="Segoe UI" w:ascii="Segoe UI" w:hAnsi="Segoe UI"/>
        </w:rPr>
        <w:t>A tal fine il Direttore dell’esecuzione trasmetterà all'impresa entro il 30 marzo di ogni anno, elenco atto ad individuare l'ubicazione delle singole piantagioni: tale nota dovrà ritornare alla stazione appaltante medesima debitamente firmata entro 10 giorni dal ricevimento. L’Impresa indicherà con apposito crono-programma, la tempistica d’intervento, che dovrà essere approvato dal Supervisore.</w:t>
      </w:r>
    </w:p>
    <w:p>
      <w:pPr>
        <w:pStyle w:val="BodyText"/>
        <w:spacing w:before="129" w:after="0"/>
        <w:ind w:hanging="0" w:left="1592"/>
        <w:jc w:val="both"/>
        <w:rPr/>
      </w:pPr>
      <w:r>
        <w:rPr>
          <w:rFonts w:cs="Segoe UI" w:ascii="Segoe UI" w:hAnsi="Segoe UI"/>
        </w:rPr>
        <w:t>L'Amministrazione comunale si assume l'onere dei relativi consumi idrici.</w:t>
      </w:r>
    </w:p>
    <w:p>
      <w:pPr>
        <w:pStyle w:val="BodyText"/>
        <w:spacing w:before="129" w:after="0"/>
        <w:ind w:hanging="0" w:left="1592"/>
        <w:jc w:val="both"/>
        <w:rPr/>
      </w:pPr>
      <w:r>
        <w:rPr>
          <w:rFonts w:cs="Segoe UI" w:ascii="Segoe UI" w:hAnsi="Segoe UI"/>
        </w:rPr>
        <w:t>Per maggiori dettagli tecnici e operativi, si rimanda alla parte 2, prescrizioni tecniche del presente Capitolato speciale d’appalto.</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misura.</w:t>
      </w:r>
    </w:p>
    <w:p>
      <w:pPr>
        <w:pStyle w:val="BodyText"/>
        <w:spacing w:before="129" w:after="0"/>
        <w:ind w:hanging="0" w:left="1592"/>
        <w:jc w:val="both"/>
        <w:rPr>
          <w:rFonts w:ascii="Segoe UI" w:hAnsi="Segoe UI" w:cs="Segoe UI"/>
        </w:rPr>
      </w:pPr>
      <w:r>
        <w:rPr>
          <w:rFonts w:cs="Segoe UI" w:ascii="Segoe UI" w:hAnsi="Segoe UI"/>
        </w:rPr>
      </w:r>
    </w:p>
    <w:p>
      <w:pPr>
        <w:pStyle w:val="BodyText"/>
        <w:spacing w:before="129" w:after="0"/>
        <w:ind w:hanging="0" w:left="1592"/>
        <w:jc w:val="both"/>
        <w:rPr/>
      </w:pPr>
      <w:r>
        <w:rPr>
          <w:rFonts w:cs="Segoe UI" w:ascii="Segoe UI" w:hAnsi="Segoe UI"/>
          <w:b/>
          <w:bCs/>
          <w:color w:val="C9211E"/>
          <w:sz w:val="24"/>
          <w:szCs w:val="24"/>
        </w:rPr>
        <w:t>LAVORAZIONE 15</w:t>
      </w:r>
      <w:r>
        <w:rPr>
          <w:rFonts w:cs="Segoe UI" w:ascii="Segoe UI" w:hAnsi="Segoe UI"/>
          <w:b/>
          <w:bCs/>
          <w:i/>
          <w:iCs/>
          <w:color w:val="C9211E"/>
          <w:sz w:val="24"/>
          <w:szCs w:val="24"/>
        </w:rPr>
        <w:t xml:space="preserve"> Gestione impianti di irrigazione</w:t>
      </w:r>
    </w:p>
    <w:p>
      <w:pPr>
        <w:pStyle w:val="BodyText"/>
        <w:spacing w:before="129" w:after="0"/>
        <w:ind w:hanging="0" w:left="1592"/>
        <w:jc w:val="both"/>
        <w:rPr/>
      </w:pPr>
      <w:r>
        <w:rPr>
          <w:rFonts w:cs="Segoe UI" w:ascii="Segoe UI" w:hAnsi="Segoe UI"/>
          <w:b/>
          <w:bCs/>
        </w:rPr>
        <w:t xml:space="preserve">Impianti irrigui: </w:t>
      </w:r>
      <w:r>
        <w:rPr>
          <w:rFonts w:cs="Segoe UI" w:ascii="Segoe UI" w:hAnsi="Segoe UI"/>
        </w:rPr>
        <w:t>azionamento, controllo, riparazione a guasto degli impianti e opere tecnologiche connesse, degli impianti per aspersione e a goccia presenti in parchi, giardini, aiuole, viali alberati, come da Allegato A6</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Costante;</w:t>
      </w:r>
    </w:p>
    <w:p>
      <w:pPr>
        <w:pStyle w:val="BodyText"/>
        <w:spacing w:before="129" w:after="0"/>
        <w:ind w:hanging="0" w:left="1592"/>
        <w:jc w:val="both"/>
        <w:rPr/>
      </w:pPr>
      <w:r>
        <w:rPr>
          <w:rFonts w:cs="Segoe UI" w:ascii="Segoe UI" w:hAnsi="Segoe UI"/>
          <w:b/>
          <w:bCs/>
        </w:rPr>
        <w:t xml:space="preserve">Periodicità: </w:t>
      </w:r>
      <w:r>
        <w:rPr>
          <w:rFonts w:cs="Segoe UI" w:ascii="Segoe UI" w:hAnsi="Segoe UI"/>
        </w:rPr>
        <w:t>accensione e spegnimento nei periodi adatti e verifica continua durante il periodo di attivazione e spegnimento;</w:t>
      </w:r>
    </w:p>
    <w:p>
      <w:pPr>
        <w:pStyle w:val="BodyText"/>
        <w:spacing w:before="129" w:after="0"/>
        <w:ind w:hanging="0" w:left="1592"/>
        <w:jc w:val="both"/>
        <w:rPr/>
      </w:pPr>
      <w:r>
        <w:rPr>
          <w:rFonts w:cs="Segoe UI" w:ascii="Segoe UI" w:hAnsi="Segoe UI"/>
          <w:b/>
          <w:bCs/>
        </w:rPr>
        <w:t xml:space="preserve">Modalità operative: </w:t>
      </w:r>
      <w:r>
        <w:rPr>
          <w:rFonts w:cs="Segoe UI" w:ascii="Segoe UI" w:hAnsi="Segoe UI"/>
        </w:rPr>
        <w:t xml:space="preserve">l'intervento comporta l'azionamento tramite attivazione delle </w:t>
      </w:r>
    </w:p>
    <w:p>
      <w:pPr>
        <w:pStyle w:val="BodyText"/>
        <w:spacing w:before="129" w:after="0"/>
        <w:ind w:hanging="0" w:left="1592"/>
        <w:jc w:val="both"/>
        <w:rPr/>
      </w:pPr>
      <w:r>
        <w:rPr>
          <w:rFonts w:cs="Segoe UI" w:ascii="Segoe UI" w:hAnsi="Segoe UI"/>
        </w:rPr>
        <w:t>centraline di controllo operativo di tutti gli impianti irrigui per aspersione e a goccia presenti nelle aree oggetto di appalto, la loro verifica settoriale entro i primi 20 minuti dalla attivazione dell'impianto al fine di evitare dispersioni idriche e disservizi relativi all'utenza delle aree verdi ed a ogni tipo di problematica urbana (traffico, infiltrazioni, danneggiamento veicoli in sosta).</w:t>
      </w:r>
    </w:p>
    <w:p>
      <w:pPr>
        <w:pStyle w:val="BodyText"/>
        <w:spacing w:before="129" w:after="0"/>
        <w:ind w:hanging="0" w:left="1592"/>
        <w:jc w:val="both"/>
        <w:rPr/>
      </w:pPr>
      <w:r>
        <w:rPr>
          <w:rFonts w:cs="Segoe UI" w:ascii="Segoe UI" w:hAnsi="Segoe UI"/>
        </w:rPr>
        <w:t>L'intervento comprende anche la posa di cartelli monitori di forma semplice ma da concordare con il Direttore dell’esecuzione al fine di rendere noti eventuali disagi (corrispondenti agli orari di intervento) alla cittadinanza e agli utenti in particolare   tali cartelli dovranno perciò collocarsi in numero sufficiente e tempestivo in relazione all'intervento stesso.</w:t>
      </w:r>
    </w:p>
    <w:p>
      <w:pPr>
        <w:pStyle w:val="BodyText"/>
        <w:spacing w:before="129" w:after="0"/>
        <w:ind w:hanging="0" w:left="1592"/>
        <w:jc w:val="both"/>
        <w:rPr/>
      </w:pPr>
      <w:r>
        <w:rPr>
          <w:rFonts w:cs="Segoe UI" w:ascii="Segoe UI" w:hAnsi="Segoe UI"/>
        </w:rPr>
        <w:t>Compresa la riparazione di perdite sulla linea di distribuzione principale e secondaria, di qualsiasi diametro e materiale, compreso l’onere della manodopera, materiali, noleggi e trasporti: per un numero illimitato di interventi annui.</w:t>
      </w:r>
    </w:p>
    <w:p>
      <w:pPr>
        <w:pStyle w:val="BodyText"/>
        <w:spacing w:before="129" w:after="0"/>
        <w:ind w:hanging="0" w:left="1592"/>
        <w:jc w:val="both"/>
        <w:rPr/>
      </w:pPr>
      <w:r>
        <w:rPr>
          <w:rFonts w:cs="Segoe UI" w:ascii="Segoe UI" w:hAnsi="Segoe UI"/>
        </w:rPr>
        <w:t>La lavorazione comprende pure la sostituzione delle elettrovalvole e delle relative centraline di comando, sia che esse siano a pile oppure a 220V: in questo caso verrà riconosciuto l’onere per la sola fornitura del materiale in quanto l’onere per la manodopera, il trasporto, noleggi vari, smaltimenti alle PP.DD. e quant’altro necessario per dare il servizio finito a regola d’arte, si intende già compreso della voce generale.</w:t>
      </w:r>
    </w:p>
    <w:p>
      <w:pPr>
        <w:pStyle w:val="BodyText"/>
        <w:spacing w:before="129" w:after="0"/>
        <w:ind w:hanging="0" w:left="1592"/>
        <w:jc w:val="both"/>
        <w:rPr/>
      </w:pPr>
      <w:r>
        <w:rPr>
          <w:rFonts w:cs="Segoe UI" w:ascii="Segoe UI" w:hAnsi="Segoe UI"/>
        </w:rPr>
        <w:t>Manodopera, trasporti, noleggi, pezzi di ricambio alla bisogna e quant’altro necessario per dare il lavoro finito a regola d’arte, compresi nel prezzo a base di gara.</w:t>
      </w:r>
    </w:p>
    <w:p>
      <w:pPr>
        <w:pStyle w:val="BodyText"/>
        <w:spacing w:before="129" w:after="0"/>
        <w:ind w:hanging="0" w:left="1592"/>
        <w:jc w:val="both"/>
        <w:rPr/>
      </w:pPr>
      <w:r>
        <w:rPr>
          <w:rFonts w:cs="Segoe UI" w:ascii="Segoe UI" w:hAnsi="Segoe UI"/>
        </w:rPr>
        <w:t>La modalità della esecuzione delle opere sarà la seguente:</w:t>
      </w:r>
    </w:p>
    <w:p>
      <w:pPr>
        <w:pStyle w:val="BodyText"/>
        <w:numPr>
          <w:ilvl w:val="0"/>
          <w:numId w:val="0"/>
        </w:numPr>
        <w:spacing w:before="129" w:after="0"/>
        <w:ind w:hanging="0" w:left="1800"/>
        <w:jc w:val="both"/>
        <w:rPr/>
      </w:pPr>
      <w:r>
        <w:rPr>
          <w:rFonts w:cs="Segoe UI" w:ascii="Segoe UI" w:hAnsi="Segoe UI"/>
          <w:b/>
          <w:bCs/>
        </w:rPr>
        <w:t>A. Apertura degli impianti e controllo generale.</w:t>
      </w:r>
    </w:p>
    <w:p>
      <w:pPr>
        <w:pStyle w:val="BodyText"/>
        <w:numPr>
          <w:ilvl w:val="0"/>
          <w:numId w:val="0"/>
        </w:numPr>
        <w:spacing w:before="129" w:after="0"/>
        <w:ind w:hanging="0" w:left="1952"/>
        <w:jc w:val="both"/>
        <w:rPr/>
      </w:pPr>
      <w:r>
        <w:rPr>
          <w:rFonts w:cs="Segoe UI" w:ascii="Segoe UI" w:hAnsi="Segoe UI"/>
        </w:rPr>
        <w:t>L'apertura è prevista in dovuto anticipo rispetto all'inizio della stagione irrigua, in modo da poter disporre degli impianti pronti all'uso all'inizio della stessa.</w:t>
      </w:r>
    </w:p>
    <w:p>
      <w:pPr>
        <w:pStyle w:val="BodyText"/>
        <w:numPr>
          <w:ilvl w:val="0"/>
          <w:numId w:val="0"/>
        </w:numPr>
        <w:spacing w:before="129" w:after="0"/>
        <w:ind w:hanging="0" w:left="1952"/>
        <w:jc w:val="both"/>
        <w:rPr/>
      </w:pPr>
      <w:r>
        <w:rPr>
          <w:rFonts w:cs="Segoe UI" w:ascii="Segoe UI" w:hAnsi="Segoe UI"/>
        </w:rPr>
        <w:t>Verrà realizzata mediante apertura dell'idrante di alimentazione generale, dopo aver chiuso tutti i rubinetti di scarico dei collettori, apertura delle saracinesche ed elettrovalvole dei gruppi di comando.</w:t>
      </w:r>
    </w:p>
    <w:p>
      <w:pPr>
        <w:pStyle w:val="BodyText"/>
        <w:numPr>
          <w:ilvl w:val="0"/>
          <w:numId w:val="0"/>
        </w:numPr>
        <w:spacing w:before="129" w:after="0"/>
        <w:ind w:hanging="0" w:left="1952"/>
        <w:jc w:val="both"/>
        <w:rPr/>
      </w:pPr>
      <w:r>
        <w:rPr>
          <w:rFonts w:cs="Segoe UI" w:ascii="Segoe UI" w:hAnsi="Segoe UI"/>
        </w:rPr>
        <w:t xml:space="preserve">Occorrerà pertanto effettuare un controllo generale dello stato dei vari componenti. </w:t>
      </w:r>
    </w:p>
    <w:p>
      <w:pPr>
        <w:pStyle w:val="BodyText"/>
        <w:numPr>
          <w:ilvl w:val="0"/>
          <w:numId w:val="0"/>
        </w:numPr>
        <w:spacing w:before="129" w:after="0"/>
        <w:ind w:hanging="0" w:left="1952"/>
        <w:jc w:val="both"/>
        <w:rPr/>
      </w:pPr>
      <w:r>
        <w:rPr>
          <w:rFonts w:cs="Segoe UI" w:ascii="Segoe UI" w:hAnsi="Segoe UI"/>
        </w:rPr>
        <w:t>Seguirà l'attivazione dei programmatore con effettuazione di un ciclo irriguo di prova per ciascun settore, mediante il tasto manuale.</w:t>
      </w:r>
    </w:p>
    <w:p>
      <w:pPr>
        <w:pStyle w:val="BodyText"/>
        <w:numPr>
          <w:ilvl w:val="0"/>
          <w:numId w:val="0"/>
        </w:numPr>
        <w:spacing w:before="129" w:after="0"/>
        <w:ind w:hanging="0" w:left="1952"/>
        <w:jc w:val="both"/>
        <w:rPr/>
      </w:pPr>
      <w:r>
        <w:rPr>
          <w:rFonts w:cs="Segoe UI" w:ascii="Segoe UI" w:hAnsi="Segoe UI"/>
        </w:rPr>
        <w:t>Occorrerà verificare la tenuta dei gruppi di comando, in particolare delle elettrovalvole. Durante l'irrorazione si controllerà il funzionamento dei singoli irrigatori, rilevando quelli rotti o con aspersione imperfetta.</w:t>
      </w:r>
    </w:p>
    <w:p>
      <w:pPr>
        <w:pStyle w:val="BodyText"/>
        <w:numPr>
          <w:ilvl w:val="0"/>
          <w:numId w:val="0"/>
        </w:numPr>
        <w:spacing w:before="129" w:after="0"/>
        <w:ind w:hanging="0" w:left="1952"/>
        <w:jc w:val="both"/>
        <w:rPr/>
      </w:pPr>
      <w:r>
        <w:rPr>
          <w:rFonts w:cs="Segoe UI" w:ascii="Segoe UI" w:hAnsi="Segoe UI"/>
        </w:rPr>
        <w:t>L'appaltatore dovrà ricercare in loco, per ciascun impianto, i punti di ubicazione degli idranti, gruppi di derivazione programmatori in base alle indicazioni ed eventuali planimetrie fornite dal Direttore dell’esecuzione.</w:t>
      </w:r>
    </w:p>
    <w:p>
      <w:pPr>
        <w:pStyle w:val="BodyText"/>
        <w:numPr>
          <w:ilvl w:val="0"/>
          <w:numId w:val="0"/>
        </w:numPr>
        <w:spacing w:before="129" w:after="0"/>
        <w:ind w:hanging="0" w:left="1952"/>
        <w:jc w:val="both"/>
        <w:rPr/>
      </w:pPr>
      <w:r>
        <w:rPr>
          <w:rFonts w:cs="Segoe UI" w:ascii="Segoe UI" w:hAnsi="Segoe UI"/>
        </w:rPr>
        <w:t>Per le batterie delle centraline di comando è prevista la sua sostituzione all'inizio di ogni stagione irrigua con onere del materiale già compreso.</w:t>
      </w:r>
    </w:p>
    <w:p>
      <w:pPr>
        <w:pStyle w:val="BodyText"/>
        <w:numPr>
          <w:ilvl w:val="0"/>
          <w:numId w:val="0"/>
        </w:numPr>
        <w:spacing w:before="129" w:after="0"/>
        <w:ind w:hanging="0" w:left="1952"/>
        <w:jc w:val="both"/>
        <w:rPr/>
      </w:pPr>
      <w:r>
        <w:rPr>
          <w:rFonts w:cs="Segoe UI" w:ascii="Segoe UI" w:hAnsi="Segoe UI"/>
          <w:b/>
          <w:bCs/>
        </w:rPr>
        <w:t xml:space="preserve">La fase di apertura impianti dovrà essere accompagnata, ENTRO IL 30 </w:t>
      </w:r>
    </w:p>
    <w:p>
      <w:pPr>
        <w:pStyle w:val="BodyText"/>
        <w:numPr>
          <w:ilvl w:val="0"/>
          <w:numId w:val="0"/>
        </w:numPr>
        <w:spacing w:before="129" w:after="0"/>
        <w:ind w:hanging="0" w:left="1952"/>
        <w:jc w:val="both"/>
        <w:rPr/>
      </w:pPr>
      <w:r>
        <w:rPr>
          <w:rFonts w:cs="Segoe UI" w:ascii="Segoe UI" w:hAnsi="Segoe UI"/>
          <w:b/>
          <w:bCs/>
        </w:rPr>
        <w:t>APRILE DELL’ANNO DI RIFERIMENTO, da un report di intervento, riportante per ciascun impianto lo stato di funzionamento e le eventuali azioni riparative da programmare;</w:t>
      </w:r>
    </w:p>
    <w:p>
      <w:pPr>
        <w:pStyle w:val="BodyText"/>
        <w:numPr>
          <w:ilvl w:val="0"/>
          <w:numId w:val="0"/>
        </w:numPr>
        <w:spacing w:before="129" w:after="0"/>
        <w:ind w:hanging="0" w:left="1800"/>
        <w:jc w:val="both"/>
        <w:rPr/>
      </w:pPr>
      <w:r>
        <w:rPr>
          <w:rFonts w:cs="Segoe UI" w:ascii="Segoe UI" w:hAnsi="Segoe UI"/>
          <w:b/>
          <w:bCs/>
        </w:rPr>
        <w:t>B. Sostituzione e ripristino irrigatori.</w:t>
      </w:r>
    </w:p>
    <w:p>
      <w:pPr>
        <w:pStyle w:val="BodyText"/>
        <w:spacing w:before="129" w:after="0"/>
        <w:ind w:hanging="0" w:left="1952"/>
        <w:jc w:val="both"/>
        <w:rPr/>
      </w:pPr>
      <w:r>
        <w:rPr>
          <w:rFonts w:cs="Segoe UI" w:ascii="Segoe UI" w:hAnsi="Segoe UI"/>
        </w:rPr>
        <w:t>Gli irrigatori che presentino parti danneggiate (testina, ugello, ghiera) andranno ripristinati mediante sostituzione dell'elemento rotto e non più funzionale per una regolare aspersione idrica. Quelli mancanti andranno sostituiti con altri nuovi, dello stesso modello, installandoli sull'apposita prolunga o raccordo filettato. La posa dovrà essere effettuata rispettando la quota ottimale, con la ghiera interrata di circa 1 cm. sotto la cotica erbosa.</w:t>
      </w:r>
    </w:p>
    <w:p>
      <w:pPr>
        <w:pStyle w:val="BodyText"/>
        <w:spacing w:before="129" w:after="0"/>
        <w:ind w:hanging="0" w:left="1952"/>
        <w:jc w:val="both"/>
        <w:rPr/>
      </w:pPr>
      <w:r>
        <w:rPr>
          <w:rFonts w:cs="Segoe UI" w:ascii="Segoe UI" w:hAnsi="Segoe UI"/>
        </w:rPr>
        <w:t>Manodopera e pezzi di ricambio forniti dall'appaltatore a sua cura e spese: dovranno comunque essere dello stesso tipo di quelli da sostituire, adatti agli impianti installati.</w:t>
      </w:r>
    </w:p>
    <w:p>
      <w:pPr>
        <w:pStyle w:val="BodyText"/>
        <w:spacing w:before="129" w:after="0"/>
        <w:ind w:hanging="0" w:left="1952"/>
        <w:jc w:val="both"/>
        <w:rPr/>
      </w:pPr>
      <w:r>
        <w:rPr>
          <w:rFonts w:cs="Segoe UI" w:ascii="Segoe UI" w:hAnsi="Segoe UI"/>
        </w:rPr>
        <w:t>Per un numero illimitato di interventi annui.</w:t>
      </w:r>
    </w:p>
    <w:p>
      <w:pPr>
        <w:pStyle w:val="BodyText"/>
        <w:numPr>
          <w:ilvl w:val="0"/>
          <w:numId w:val="0"/>
        </w:numPr>
        <w:spacing w:before="129" w:after="0"/>
        <w:ind w:hanging="0" w:left="1800"/>
        <w:jc w:val="both"/>
        <w:rPr/>
      </w:pPr>
      <w:r>
        <w:rPr>
          <w:rFonts w:cs="Segoe UI" w:ascii="Segoe UI" w:hAnsi="Segoe UI"/>
          <w:b/>
          <w:bCs/>
        </w:rPr>
        <w:t>C. Pulizia degli irrigatori.</w:t>
      </w:r>
    </w:p>
    <w:p>
      <w:pPr>
        <w:pStyle w:val="BodyText"/>
        <w:spacing w:before="129" w:after="0"/>
        <w:ind w:hanging="0" w:left="1952"/>
        <w:jc w:val="both"/>
        <w:rPr/>
      </w:pPr>
      <w:r>
        <w:rPr>
          <w:rFonts w:cs="Segoe UI" w:ascii="Segoe UI" w:hAnsi="Segoe UI"/>
        </w:rPr>
        <w:t xml:space="preserve">Nel caso che gli irrigatori, di qualunque tipo riscontrato, non effettueranno un ottimale irrorazione, con una precipitazione ridotta, con un raggio inferiore a quello prefissato o con parti di superficie ostruite, occorrerà smontare e pulire il filtro e le testine degli stessi e provvedere al successivo riassemblaggio. </w:t>
      </w:r>
    </w:p>
    <w:p>
      <w:pPr>
        <w:pStyle w:val="BodyText"/>
        <w:spacing w:before="129" w:after="0"/>
        <w:ind w:hanging="0" w:left="1952"/>
        <w:jc w:val="both"/>
        <w:rPr/>
      </w:pPr>
      <w:r>
        <w:rPr>
          <w:rFonts w:cs="Segoe UI" w:ascii="Segoe UI" w:hAnsi="Segoe UI"/>
        </w:rPr>
        <w:t>Verrà quindi riaperto il settore interessato e verificata l'efficiente aspersione idrica degli stessi.</w:t>
      </w:r>
    </w:p>
    <w:p>
      <w:pPr>
        <w:pStyle w:val="BodyText"/>
        <w:spacing w:before="129" w:after="0"/>
        <w:ind w:hanging="0" w:left="1952"/>
        <w:jc w:val="both"/>
        <w:rPr/>
      </w:pPr>
      <w:r>
        <w:rPr>
          <w:rFonts w:cs="Segoe UI" w:ascii="Segoe UI" w:hAnsi="Segoe UI"/>
        </w:rPr>
        <w:t>Per un numero illimitato di interventi annui.</w:t>
      </w:r>
    </w:p>
    <w:p>
      <w:pPr>
        <w:pStyle w:val="BodyText"/>
        <w:numPr>
          <w:ilvl w:val="0"/>
          <w:numId w:val="0"/>
        </w:numPr>
        <w:spacing w:before="129" w:after="0"/>
        <w:ind w:hanging="0" w:left="1800"/>
        <w:jc w:val="both"/>
        <w:rPr/>
      </w:pPr>
      <w:r>
        <w:rPr>
          <w:rFonts w:cs="Segoe UI" w:ascii="Segoe UI" w:hAnsi="Segoe UI"/>
          <w:b/>
          <w:bCs/>
        </w:rPr>
        <w:t>D. Riparazione tubazioni.</w:t>
      </w:r>
    </w:p>
    <w:p>
      <w:pPr>
        <w:pStyle w:val="BodyText"/>
        <w:spacing w:before="129" w:after="0"/>
        <w:ind w:hanging="0" w:left="1952"/>
        <w:jc w:val="both"/>
        <w:rPr/>
      </w:pPr>
      <w:r>
        <w:rPr>
          <w:rFonts w:cs="Segoe UI" w:ascii="Segoe UI" w:hAnsi="Segoe UI"/>
        </w:rPr>
        <w:t>Le tubazioni di polietilene eventualmente rotte andranno riparate mediante scavo per individuare con precisione la perdita, taglio dei tubo, inserimento dei raccordo o manicotto di riparazione plastico a compressione dei diametro corrispondente, ricopertura e ripristino terreno.</w:t>
      </w:r>
    </w:p>
    <w:p>
      <w:pPr>
        <w:pStyle w:val="BodyText"/>
        <w:spacing w:before="129" w:after="0"/>
        <w:ind w:hanging="0" w:left="1952"/>
        <w:jc w:val="both"/>
        <w:rPr/>
      </w:pPr>
      <w:r>
        <w:rPr>
          <w:rFonts w:cs="Segoe UI" w:ascii="Segoe UI" w:hAnsi="Segoe UI"/>
        </w:rPr>
        <w:t>Per un numero illimitato di interventi all’anno.</w:t>
      </w:r>
    </w:p>
    <w:p>
      <w:pPr>
        <w:pStyle w:val="BodyText"/>
        <w:numPr>
          <w:ilvl w:val="0"/>
          <w:numId w:val="0"/>
        </w:numPr>
        <w:spacing w:before="129" w:after="0"/>
        <w:ind w:hanging="0" w:left="1800"/>
        <w:jc w:val="both"/>
        <w:rPr/>
      </w:pPr>
      <w:r>
        <w:rPr>
          <w:rFonts w:cs="Segoe UI" w:ascii="Segoe UI" w:hAnsi="Segoe UI"/>
          <w:b/>
          <w:bCs/>
        </w:rPr>
        <w:t>E. Riparazione di collettori.</w:t>
      </w:r>
    </w:p>
    <w:p>
      <w:pPr>
        <w:pStyle w:val="BodyText"/>
        <w:spacing w:before="129" w:after="0"/>
        <w:ind w:hanging="0" w:left="1952"/>
        <w:jc w:val="both"/>
        <w:rPr/>
      </w:pPr>
      <w:r>
        <w:rPr>
          <w:rFonts w:cs="Segoe UI" w:ascii="Segoe UI" w:hAnsi="Segoe UI"/>
        </w:rPr>
        <w:t>Alcuni collettori potranno presentare qualche elemento mai funzionante in particolare modo le elettrovalvole che possono ostruirsi causando la mancata apertura o chiusura dei flusso idrico dei settore controllato.</w:t>
      </w:r>
    </w:p>
    <w:p>
      <w:pPr>
        <w:pStyle w:val="BodyText"/>
        <w:spacing w:before="129" w:after="0"/>
        <w:ind w:hanging="0" w:left="1952"/>
        <w:jc w:val="both"/>
        <w:rPr/>
      </w:pPr>
      <w:r>
        <w:rPr>
          <w:rFonts w:cs="Segoe UI" w:ascii="Segoe UI" w:hAnsi="Segoe UI"/>
        </w:rPr>
        <w:t>Occorrerà pertanto smontare la valvola elettrica, pulire tutte le parti interessate al transito idrico e se necessario sostituire le membrana, altro elemento danneggiato o eventualmente l'intera valvola.</w:t>
      </w:r>
    </w:p>
    <w:p>
      <w:pPr>
        <w:pStyle w:val="BodyText"/>
        <w:spacing w:before="129" w:after="0"/>
        <w:ind w:hanging="0" w:left="1952"/>
        <w:jc w:val="both"/>
        <w:rPr/>
      </w:pPr>
      <w:r>
        <w:rPr>
          <w:rFonts w:cs="Segoe UI" w:ascii="Segoe UI" w:hAnsi="Segoe UI"/>
        </w:rPr>
        <w:t>Per un numero illimitato di interventi all'anno.</w:t>
      </w:r>
    </w:p>
    <w:p>
      <w:pPr>
        <w:pStyle w:val="BodyText"/>
        <w:numPr>
          <w:ilvl w:val="0"/>
          <w:numId w:val="0"/>
        </w:numPr>
        <w:spacing w:before="129" w:after="0"/>
        <w:ind w:hanging="0" w:left="1800"/>
        <w:jc w:val="both"/>
        <w:rPr/>
      </w:pPr>
      <w:r>
        <w:rPr>
          <w:rFonts w:cs="Segoe UI" w:ascii="Segoe UI" w:hAnsi="Segoe UI"/>
          <w:b/>
          <w:bCs/>
        </w:rPr>
        <w:t>F. Riparazione strutture di alloggiamento collettori e programmatori.</w:t>
      </w:r>
    </w:p>
    <w:p>
      <w:pPr>
        <w:pStyle w:val="BodyText"/>
        <w:spacing w:before="129" w:after="0"/>
        <w:ind w:hanging="0" w:left="1952"/>
        <w:jc w:val="both"/>
        <w:rPr/>
      </w:pPr>
      <w:r>
        <w:rPr>
          <w:rFonts w:cs="Segoe UI" w:ascii="Segoe UI" w:hAnsi="Segoe UI"/>
        </w:rPr>
        <w:t xml:space="preserve">Le sportellature di chiusura delle camere di alloggiamento dei collettori eventualmente danneggiate dal passaggio di mezzi pesanti impiegati per il taglio erba, dovranno essere smontate, raddrizzate e riparate in opera sul </w:t>
      </w:r>
    </w:p>
    <w:p>
      <w:pPr>
        <w:pStyle w:val="BodyText"/>
        <w:spacing w:before="129" w:after="0"/>
        <w:ind w:hanging="0" w:left="1952"/>
        <w:jc w:val="both"/>
        <w:rPr/>
      </w:pPr>
      <w:r>
        <w:rPr>
          <w:rFonts w:cs="Segoe UI" w:ascii="Segoe UI" w:hAnsi="Segoe UI"/>
        </w:rPr>
        <w:t>proprio telaio. Occorrerà inoltre verificare la tenuta delle cerniere e l'efficiente chiusura del lucchetto.</w:t>
      </w:r>
    </w:p>
    <w:p>
      <w:pPr>
        <w:pStyle w:val="BodyText"/>
        <w:spacing w:before="129" w:after="0"/>
        <w:ind w:hanging="0" w:left="1952"/>
        <w:jc w:val="both"/>
        <w:rPr/>
      </w:pPr>
      <w:r>
        <w:rPr>
          <w:rFonts w:cs="Segoe UI" w:ascii="Segoe UI" w:hAnsi="Segoe UI"/>
        </w:rPr>
        <w:t>Se la riparazione delle sportellature risultasse impossibile, le stesse andranno sostituite con altre di uguali dimensioni. Altresì dovranno essere eventualmente riparate e/o sostituite le strutture di contenimento in muratura, calcestruzzo o materiale plastico.</w:t>
      </w:r>
    </w:p>
    <w:p>
      <w:pPr>
        <w:pStyle w:val="BodyText"/>
        <w:spacing w:before="129" w:after="0"/>
        <w:ind w:hanging="0" w:left="1952"/>
        <w:jc w:val="both"/>
        <w:rPr/>
      </w:pPr>
      <w:r>
        <w:rPr>
          <w:rFonts w:cs="Segoe UI" w:ascii="Segoe UI" w:hAnsi="Segoe UI"/>
        </w:rPr>
        <w:t>Per un numero illimitato di interventi all'anno.</w:t>
      </w:r>
    </w:p>
    <w:p>
      <w:pPr>
        <w:pStyle w:val="BodyText"/>
        <w:numPr>
          <w:ilvl w:val="0"/>
          <w:numId w:val="0"/>
        </w:numPr>
        <w:spacing w:before="129" w:after="0"/>
        <w:ind w:hanging="0" w:left="1800"/>
        <w:jc w:val="both"/>
        <w:rPr/>
      </w:pPr>
      <w:r>
        <w:rPr>
          <w:rFonts w:cs="Segoe UI" w:ascii="Segoe UI" w:hAnsi="Segoe UI"/>
          <w:b/>
          <w:bCs/>
        </w:rPr>
        <w:t>G. Chiusura e messa a riposo.</w:t>
      </w:r>
    </w:p>
    <w:p>
      <w:pPr>
        <w:pStyle w:val="BodyText"/>
        <w:spacing w:before="129" w:after="0"/>
        <w:ind w:hanging="0" w:left="1952"/>
        <w:jc w:val="both"/>
        <w:rPr/>
      </w:pPr>
      <w:r>
        <w:rPr>
          <w:rFonts w:cs="Segoe UI" w:ascii="Segoe UI" w:hAnsi="Segoe UI"/>
        </w:rPr>
        <w:t>Al termine della stagione irrigua verrà effettuata la messa a riposo degli impianti, comprendente:</w:t>
      </w:r>
    </w:p>
    <w:p>
      <w:pPr>
        <w:pStyle w:val="BodyText"/>
        <w:spacing w:before="129" w:after="0"/>
        <w:ind w:hanging="0" w:left="1952"/>
        <w:jc w:val="both"/>
        <w:rPr/>
      </w:pPr>
      <w:r>
        <w:rPr>
          <w:rFonts w:cs="Segoe UI" w:ascii="Segoe UI" w:hAnsi="Segoe UI"/>
        </w:rPr>
        <w:t>Chiusura degli idranti di alimentazione.</w:t>
      </w:r>
    </w:p>
    <w:p>
      <w:pPr>
        <w:pStyle w:val="BodyText"/>
        <w:spacing w:before="129" w:after="0"/>
        <w:ind w:hanging="0" w:left="1952"/>
        <w:jc w:val="both"/>
        <w:rPr/>
      </w:pPr>
      <w:r>
        <w:rPr>
          <w:rFonts w:cs="Segoe UI" w:ascii="Segoe UI" w:hAnsi="Segoe UI"/>
        </w:rPr>
        <w:t>Svuotamento dei collettori e gruppi di derivazione, aprendo i rubinetti di scarico.</w:t>
      </w:r>
    </w:p>
    <w:p>
      <w:pPr>
        <w:pStyle w:val="BodyText"/>
        <w:spacing w:before="129" w:after="0"/>
        <w:ind w:hanging="0" w:left="1952"/>
        <w:jc w:val="both"/>
        <w:rPr/>
      </w:pPr>
      <w:r>
        <w:rPr>
          <w:rFonts w:cs="Segoe UI" w:ascii="Segoe UI" w:hAnsi="Segoe UI"/>
        </w:rPr>
        <w:t>Azzeramento delle funzioni dei programmatori.</w:t>
      </w:r>
    </w:p>
    <w:p>
      <w:pPr>
        <w:pStyle w:val="BodyText"/>
        <w:spacing w:before="129" w:after="0"/>
        <w:ind w:hanging="0" w:left="1952"/>
        <w:jc w:val="both"/>
        <w:rPr/>
      </w:pPr>
      <w:r>
        <w:rPr>
          <w:rFonts w:cs="Segoe UI" w:ascii="Segoe UI" w:hAnsi="Segoe UI"/>
        </w:rPr>
        <w:t>Rimozione della pila di alimentazione.</w:t>
      </w:r>
    </w:p>
    <w:p>
      <w:pPr>
        <w:pStyle w:val="BodyText"/>
        <w:spacing w:before="129" w:after="0"/>
        <w:ind w:hanging="0" w:left="1952"/>
        <w:jc w:val="both"/>
        <w:rPr/>
      </w:pPr>
      <w:r>
        <w:rPr>
          <w:rFonts w:cs="Segoe UI" w:ascii="Segoe UI" w:hAnsi="Segoe UI"/>
          <w:b/>
          <w:bCs/>
        </w:rPr>
        <w:t>La fase di chiusura impianti dovrà essere accompagnata, ENTRO IL 30 NOVEMBRE DELL’ANNO DI RIFERIMENTO, da un report di intervento, riportante per ciascun impianto lo stato di funzionamento e le eventuali azioni riparative da programmare;</w:t>
      </w:r>
    </w:p>
    <w:p>
      <w:pPr>
        <w:pStyle w:val="BodyText"/>
        <w:spacing w:before="129" w:after="0"/>
        <w:ind w:hanging="0" w:left="1592"/>
        <w:jc w:val="both"/>
        <w:rPr/>
      </w:pPr>
      <w:r>
        <w:rPr>
          <w:rFonts w:cs="Segoe UI" w:ascii="Segoe UI" w:hAnsi="Segoe UI"/>
          <w:b/>
          <w:bCs/>
        </w:rPr>
        <w:t>Dimensionamento annuale della lavorazione</w:t>
      </w:r>
      <w:r>
        <w:rPr>
          <w:rFonts w:cs="Segoe UI" w:ascii="Segoe UI" w:hAnsi="Segoe UI"/>
        </w:rPr>
        <w:t>: a corpo.</w:t>
      </w:r>
    </w:p>
    <w:p>
      <w:pPr>
        <w:pStyle w:val="BodyText"/>
        <w:spacing w:before="129" w:after="0"/>
        <w:ind w:hanging="0" w:left="1592"/>
        <w:jc w:val="both"/>
        <w:rPr/>
      </w:pPr>
      <w:r>
        <w:rPr>
          <w:rFonts w:cs="Segoe UI" w:ascii="Segoe UI" w:hAnsi="Segoe UI"/>
        </w:rPr>
        <w:t>L’Impresa è tenuta ad eseguire la manutenzione ordinaria e a guasto sui nuovi impianti che la Stazione appaltante realizzerà durante il periodo contrattuale, nelle aree soggette a manutenzione e l’onere conseguente si intende già compreso da ora per allora.</w:t>
      </w:r>
    </w:p>
    <w:p>
      <w:pPr>
        <w:pStyle w:val="BodyText"/>
        <w:spacing w:before="129" w:after="0"/>
        <w:ind w:hanging="0" w:left="1592"/>
        <w:jc w:val="both"/>
        <w:rPr/>
      </w:pPr>
      <w:r>
        <w:rPr>
          <w:rFonts w:cs="Segoe UI" w:ascii="Segoe UI" w:hAnsi="Segoe UI"/>
        </w:rPr>
        <w:t>È a discrezione del Committente la scelta dell’esecutore del nuovo impianto senza che l’Impresa appaltatrice possa accampare alcun diritto sull’esecuzione.</w:t>
      </w:r>
    </w:p>
    <w:p>
      <w:pPr>
        <w:pStyle w:val="BodyText"/>
        <w:spacing w:before="129" w:after="0"/>
        <w:ind w:hanging="0" w:left="1592"/>
        <w:jc w:val="both"/>
        <w:rPr>
          <w:rFonts w:ascii="Segoe UI" w:hAnsi="Segoe UI" w:cs="Segoe UI"/>
        </w:rPr>
      </w:pPr>
      <w:r>
        <w:rPr>
          <w:rFonts w:cs="Segoe UI" w:ascii="Segoe UI" w:hAnsi="Segoe UI"/>
        </w:rPr>
      </w:r>
    </w:p>
    <w:p>
      <w:pPr>
        <w:pStyle w:val="BodyText"/>
        <w:spacing w:before="129" w:after="0"/>
        <w:ind w:hanging="0" w:left="1592"/>
        <w:jc w:val="both"/>
        <w:rPr/>
      </w:pPr>
      <w:r>
        <w:rPr>
          <w:rFonts w:cs="Segoe UI" w:ascii="Segoe UI" w:hAnsi="Segoe UI"/>
        </w:rPr>
        <w:t>In caso di sostituzione dei componenti gli impianti di irrigazione, nei termini previsti dalla voce generale, si utilizzeranno i prezzi dei materiali e della manodopera ricavata dal prezziario ASSOVERDE vigente, sui quali verrà applicato lo sconto offerto in sede di gara; in tutti gli altri casi si provvederà con le modalità previste dal Capitolato Speciale d’Appalto.</w:t>
      </w:r>
    </w:p>
    <w:p>
      <w:pPr>
        <w:pStyle w:val="BodyText"/>
        <w:spacing w:before="129" w:after="0"/>
        <w:ind w:hanging="0" w:left="1592"/>
        <w:jc w:val="both"/>
        <w:rPr/>
      </w:pPr>
      <w:r>
        <w:rPr>
          <w:rFonts w:cs="Segoe UI" w:ascii="Segoe UI" w:hAnsi="Segoe UI"/>
        </w:rPr>
        <w:t>L’Amministrazione Comunale si riserva la facoltà di assegnare la fornitura e posa del materiale necessario, ad altra ditta senza che l’Appaltatore possa accampare diritti di alcun genere.</w:t>
      </w:r>
    </w:p>
    <w:p>
      <w:pPr>
        <w:pStyle w:val="BodyText"/>
        <w:spacing w:before="129" w:after="0"/>
        <w:ind w:hanging="0" w:left="1592"/>
        <w:jc w:val="both"/>
        <w:rPr>
          <w:rFonts w:ascii="Segoe UI" w:hAnsi="Segoe UI" w:cs="Segoe UI"/>
        </w:rPr>
      </w:pPr>
      <w:r>
        <w:rPr>
          <w:rFonts w:cs="Segoe UI" w:ascii="Segoe UI" w:hAnsi="Segoe UI"/>
        </w:rPr>
      </w:r>
    </w:p>
    <w:p>
      <w:pPr>
        <w:pStyle w:val="BodyText"/>
        <w:spacing w:before="129" w:after="0"/>
        <w:ind w:hanging="0" w:left="1592"/>
        <w:jc w:val="both"/>
        <w:rPr/>
      </w:pPr>
      <w:r>
        <w:rPr>
          <w:rFonts w:cs="Segoe UI" w:ascii="Segoe UI" w:hAnsi="Segoe UI"/>
          <w:b/>
          <w:bCs/>
          <w:color w:val="C9211E"/>
          <w:sz w:val="24"/>
          <w:szCs w:val="24"/>
        </w:rPr>
        <w:t>LAVORAZIONE 16</w:t>
      </w:r>
      <w:r>
        <w:rPr>
          <w:rFonts w:cs="Segoe UI" w:ascii="Segoe UI" w:hAnsi="Segoe UI"/>
          <w:b/>
          <w:bCs/>
          <w:i/>
          <w:iCs/>
          <w:color w:val="C9211E"/>
          <w:sz w:val="24"/>
          <w:szCs w:val="24"/>
        </w:rPr>
        <w:t xml:space="preserve"> Formazione nuovi tappeti erbosi</w:t>
      </w:r>
    </w:p>
    <w:p>
      <w:pPr>
        <w:pStyle w:val="BodyText"/>
        <w:spacing w:before="129" w:after="0"/>
        <w:ind w:hanging="0" w:left="1592"/>
        <w:jc w:val="both"/>
        <w:rPr/>
      </w:pPr>
      <w:r>
        <w:rPr>
          <w:rFonts w:cs="Segoe UI" w:ascii="Segoe UI" w:hAnsi="Segoe UI"/>
          <w:b/>
          <w:bCs/>
        </w:rPr>
        <w:t>Formazione prato:</w:t>
      </w:r>
      <w:r>
        <w:rPr>
          <w:rFonts w:cs="Segoe UI" w:ascii="Segoe UI" w:hAnsi="Segoe UI"/>
        </w:rPr>
        <w:t xml:space="preserve"> opere colturali preliminari, semina, rullatura, innaffiatura.</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nei periodi adatti alla semina in autunno e primavera.</w:t>
      </w:r>
    </w:p>
    <w:p>
      <w:pPr>
        <w:pStyle w:val="BodyText"/>
        <w:spacing w:before="129" w:after="0"/>
        <w:ind w:hanging="0" w:left="1592"/>
        <w:jc w:val="both"/>
        <w:rPr/>
      </w:pPr>
      <w:r>
        <w:rPr>
          <w:rFonts w:cs="Segoe UI" w:ascii="Segoe UI" w:hAnsi="Segoe UI"/>
          <w:b/>
          <w:bCs/>
        </w:rPr>
        <w:t xml:space="preserve">Periodicità: </w:t>
      </w:r>
      <w:r>
        <w:rPr>
          <w:rFonts w:cs="Segoe UI" w:ascii="Segoe UI" w:hAnsi="Segoe UI"/>
        </w:rPr>
        <w:t>secondo le necessità che di volta in volta si rendessero necessari.</w:t>
      </w:r>
    </w:p>
    <w:p>
      <w:pPr>
        <w:pStyle w:val="BodyText"/>
        <w:spacing w:before="129" w:after="0"/>
        <w:ind w:hanging="0" w:left="1592"/>
        <w:jc w:val="both"/>
        <w:rPr/>
      </w:pPr>
      <w:r>
        <w:rPr>
          <w:rFonts w:cs="Segoe UI" w:ascii="Segoe UI" w:hAnsi="Segoe UI"/>
          <w:b/>
          <w:bCs/>
        </w:rPr>
        <w:t xml:space="preserve">Modalità operative: </w:t>
      </w:r>
      <w:r>
        <w:rPr>
          <w:rFonts w:cs="Segoe UI" w:ascii="Segoe UI" w:hAnsi="Segoe UI"/>
        </w:rPr>
        <w:t>preparazione meccanica del terreno (pulizia dell'area, aratura/vangatura, erpicature) con concimazione di fondo, semina manuale o meccanica, compreso fornitura di 100 g/m2 di concime ternario, di 40 g/m2 di seme, semina, rullatura e prima irrigazione. Nei periodi meno idonei alla semina le aree dovranno comunque risultare prive di vegetazione spontanea accresciuta e presentarsi adeguatamente spianate, rullate, comunque preparate alla semina di aspetto decoroso e apprezzabile.</w:t>
      </w:r>
    </w:p>
    <w:p>
      <w:pPr>
        <w:pStyle w:val="BodyText"/>
        <w:spacing w:before="129" w:after="0"/>
        <w:ind w:hanging="0" w:left="1592"/>
        <w:jc w:val="both"/>
        <w:rPr/>
      </w:pPr>
      <w:r>
        <w:rPr>
          <w:rFonts w:cs="Segoe UI" w:ascii="Segoe UI" w:hAnsi="Segoe UI"/>
        </w:rPr>
        <w:t>Per maggiori dettagli tecnici e operativi, si rimanda alla parte 2, prescrizioni tecniche del presente Capitolato speciale d’appalto.</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misura.</w:t>
      </w:r>
    </w:p>
    <w:p>
      <w:pPr>
        <w:pStyle w:val="Normal"/>
        <w:spacing w:before="129" w:after="0"/>
        <w:ind w:hanging="0" w:left="1440"/>
        <w:jc w:val="both"/>
        <w:rPr>
          <w:rFonts w:ascii="Segoe UI" w:hAnsi="Segoe UI" w:cs="Segoe UI"/>
          <w:sz w:val="22"/>
          <w:szCs w:val="22"/>
        </w:rPr>
      </w:pPr>
      <w:r>
        <w:rPr>
          <w:rFonts w:cs="Segoe UI" w:ascii="Segoe UI" w:hAnsi="Segoe UI"/>
          <w:sz w:val="22"/>
          <w:szCs w:val="22"/>
        </w:rPr>
      </w:r>
    </w:p>
    <w:p>
      <w:pPr>
        <w:pStyle w:val="BodyText"/>
        <w:spacing w:before="129" w:after="0"/>
        <w:ind w:hanging="0" w:left="1592"/>
        <w:jc w:val="both"/>
        <w:rPr/>
      </w:pPr>
      <w:r>
        <w:rPr>
          <w:rFonts w:cs="Segoe UI" w:ascii="Segoe UI" w:hAnsi="Segoe UI"/>
          <w:b/>
          <w:bCs/>
          <w:color w:val="C9211E"/>
          <w:sz w:val="24"/>
          <w:szCs w:val="24"/>
        </w:rPr>
        <w:t>LAVORAZIONE 17</w:t>
      </w:r>
      <w:r>
        <w:rPr>
          <w:rFonts w:cs="Segoe UI" w:ascii="Segoe UI" w:hAnsi="Segoe UI"/>
          <w:b/>
          <w:bCs/>
          <w:i/>
          <w:iCs/>
          <w:color w:val="C9211E"/>
          <w:sz w:val="24"/>
          <w:szCs w:val="24"/>
        </w:rPr>
        <w:t xml:space="preserve"> Manutenzione campi di gioco sportivi</w:t>
      </w:r>
    </w:p>
    <w:p>
      <w:pPr>
        <w:pStyle w:val="BodyText"/>
        <w:spacing w:before="129" w:after="0"/>
        <w:ind w:hanging="0" w:left="1592"/>
        <w:jc w:val="both"/>
        <w:rPr/>
      </w:pPr>
      <w:r>
        <w:rPr>
          <w:rFonts w:cs="Segoe UI" w:ascii="Segoe UI" w:hAnsi="Segoe UI"/>
          <w:b/>
          <w:bCs/>
        </w:rPr>
        <w:t>Manutenzione campi sportivi:</w:t>
      </w:r>
      <w:r>
        <w:rPr>
          <w:rFonts w:cs="Segoe UI" w:ascii="Segoe UI" w:hAnsi="Segoe UI"/>
        </w:rPr>
        <w:t xml:space="preserve"> l’intervento prevede gli interventi di manutenzione ordinaria dei campi di calcio dei centri sportivi di proprietà comunale (via Mozart, via Piemonte e via Alla Stazione);</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da gennaio a dicembre secondo il crono programma sottoposto dall’appaltatore e accettato dal Direttore dell’esecuzione.</w:t>
      </w:r>
    </w:p>
    <w:p>
      <w:pPr>
        <w:pStyle w:val="BodyText"/>
        <w:spacing w:before="129" w:after="0"/>
        <w:ind w:hanging="0" w:left="1592"/>
        <w:jc w:val="both"/>
        <w:rPr/>
      </w:pPr>
      <w:r>
        <w:rPr>
          <w:rFonts w:cs="Segoe UI" w:ascii="Segoe UI" w:hAnsi="Segoe UI"/>
          <w:b/>
          <w:bCs/>
        </w:rPr>
        <w:t xml:space="preserve">Periodicità: </w:t>
      </w:r>
    </w:p>
    <w:p>
      <w:pPr>
        <w:pStyle w:val="BodyText"/>
        <w:numPr>
          <w:ilvl w:val="2"/>
          <w:numId w:val="7"/>
        </w:numPr>
        <w:rPr>
          <w:rFonts w:ascii="Segoe UI" w:hAnsi="Segoe UI" w:cs="Segoe UI"/>
        </w:rPr>
      </w:pPr>
      <w:r>
        <w:rPr>
          <w:rFonts w:cs="Segoe UI" w:ascii="Segoe UI" w:hAnsi="Segoe UI"/>
        </w:rPr>
        <w:t>da marzo a  dicembre:</w:t>
        <w:tab/>
        <w:t>sfalcio dell'erba;</w:t>
      </w:r>
    </w:p>
    <w:p>
      <w:pPr>
        <w:pStyle w:val="BodyText"/>
        <w:numPr>
          <w:ilvl w:val="2"/>
          <w:numId w:val="7"/>
        </w:numPr>
        <w:rPr>
          <w:rFonts w:ascii="Segoe UI" w:hAnsi="Segoe UI" w:cs="Segoe UI"/>
        </w:rPr>
      </w:pPr>
      <w:r>
        <w:rPr>
          <w:rFonts w:cs="Segoe UI" w:ascii="Segoe UI" w:hAnsi="Segoe UI"/>
        </w:rPr>
        <w:t>marzo:</w:t>
        <w:tab/>
        <w:tab/>
        <w:tab/>
        <w:t>arieggiamento slicing, ricarica sabbia e concimazione;</w:t>
      </w:r>
    </w:p>
    <w:p>
      <w:pPr>
        <w:pStyle w:val="BodyText"/>
        <w:numPr>
          <w:ilvl w:val="2"/>
          <w:numId w:val="7"/>
        </w:numPr>
        <w:rPr>
          <w:rFonts w:ascii="Segoe UI" w:hAnsi="Segoe UI" w:cs="Segoe UI"/>
        </w:rPr>
      </w:pPr>
      <w:r>
        <w:rPr>
          <w:rFonts w:cs="Segoe UI" w:ascii="Segoe UI" w:hAnsi="Segoe UI"/>
        </w:rPr>
        <w:t>aprile:</w:t>
        <w:tab/>
        <w:tab/>
        <w:tab/>
        <w:t>diserbo preemergenza, concimazione;</w:t>
      </w:r>
    </w:p>
    <w:p>
      <w:pPr>
        <w:pStyle w:val="BodyText"/>
        <w:numPr>
          <w:ilvl w:val="2"/>
          <w:numId w:val="7"/>
        </w:numPr>
        <w:rPr>
          <w:rFonts w:ascii="Segoe UI" w:hAnsi="Segoe UI" w:cs="Segoe UI"/>
        </w:rPr>
      </w:pPr>
      <w:r>
        <w:rPr>
          <w:rFonts w:cs="Segoe UI" w:ascii="Segoe UI" w:hAnsi="Segoe UI"/>
        </w:rPr>
        <w:t>maggio:</w:t>
        <w:tab/>
        <w:tab/>
        <w:tab/>
        <w:t>diserbo dicotilenodicida;</w:t>
      </w:r>
    </w:p>
    <w:p>
      <w:pPr>
        <w:pStyle w:val="BodyText"/>
        <w:numPr>
          <w:ilvl w:val="2"/>
          <w:numId w:val="7"/>
        </w:numPr>
        <w:rPr>
          <w:rFonts w:ascii="Segoe UI" w:hAnsi="Segoe UI" w:cs="Segoe UI"/>
        </w:rPr>
      </w:pPr>
      <w:r>
        <w:rPr>
          <w:rFonts w:cs="Segoe UI" w:ascii="Segoe UI" w:hAnsi="Segoe UI"/>
        </w:rPr>
        <w:t>giugno:</w:t>
        <w:tab/>
        <w:tab/>
        <w:tab/>
        <w:t>concimazione;</w:t>
      </w:r>
    </w:p>
    <w:p>
      <w:pPr>
        <w:pStyle w:val="BodyText"/>
        <w:numPr>
          <w:ilvl w:val="2"/>
          <w:numId w:val="7"/>
        </w:numPr>
        <w:rPr>
          <w:rFonts w:ascii="Segoe UI" w:hAnsi="Segoe UI" w:cs="Segoe UI"/>
        </w:rPr>
      </w:pPr>
      <w:r>
        <w:rPr>
          <w:rFonts w:cs="Segoe UI" w:ascii="Segoe UI" w:hAnsi="Segoe UI"/>
        </w:rPr>
        <w:t>luglio:</w:t>
        <w:tab/>
        <w:tab/>
        <w:tab/>
        <w:t>verticutizzazione;</w:t>
      </w:r>
    </w:p>
    <w:p>
      <w:pPr>
        <w:pStyle w:val="BodyText"/>
        <w:numPr>
          <w:ilvl w:val="2"/>
          <w:numId w:val="7"/>
        </w:numPr>
        <w:rPr>
          <w:rFonts w:ascii="Segoe UI" w:hAnsi="Segoe UI" w:cs="Segoe UI"/>
        </w:rPr>
      </w:pPr>
      <w:r>
        <w:rPr>
          <w:rFonts w:cs="Segoe UI" w:ascii="Segoe UI" w:hAnsi="Segoe UI"/>
        </w:rPr>
        <w:t>agosto:</w:t>
        <w:tab/>
        <w:tab/>
        <w:tab/>
        <w:t>trasemina;</w:t>
      </w:r>
    </w:p>
    <w:p>
      <w:pPr>
        <w:pStyle w:val="BodyText"/>
        <w:numPr>
          <w:ilvl w:val="2"/>
          <w:numId w:val="7"/>
        </w:numPr>
        <w:rPr>
          <w:rFonts w:ascii="Segoe UI" w:hAnsi="Segoe UI" w:cs="Segoe UI"/>
        </w:rPr>
      </w:pPr>
      <w:r>
        <w:rPr>
          <w:rFonts w:cs="Segoe UI" w:ascii="Segoe UI" w:hAnsi="Segoe UI"/>
        </w:rPr>
        <w:t>settembre:</w:t>
        <w:tab/>
        <w:tab/>
        <w:tab/>
        <w:t>ricarica sabbia e concimazione;</w:t>
      </w:r>
    </w:p>
    <w:p>
      <w:pPr>
        <w:pStyle w:val="BodyText"/>
        <w:spacing w:before="129" w:after="0"/>
        <w:ind w:hanging="0" w:left="1592"/>
        <w:jc w:val="both"/>
        <w:rPr>
          <w:rFonts w:ascii="Segoe UI" w:hAnsi="Segoe UI" w:cs="Segoe UI"/>
          <w:b/>
          <w:bCs/>
        </w:rPr>
      </w:pPr>
      <w:r>
        <w:rPr>
          <w:rFonts w:cs="Segoe UI" w:ascii="Segoe UI" w:hAnsi="Segoe UI"/>
          <w:b/>
          <w:bCs/>
        </w:rPr>
      </w:r>
    </w:p>
    <w:p>
      <w:pPr>
        <w:pStyle w:val="BodyText"/>
        <w:spacing w:before="129" w:after="0"/>
        <w:ind w:hanging="0" w:left="1592"/>
        <w:jc w:val="both"/>
        <w:rPr/>
      </w:pPr>
      <w:r>
        <w:rPr>
          <w:rFonts w:cs="Segoe UI" w:ascii="Segoe UI" w:hAnsi="Segoe UI"/>
          <w:b/>
          <w:bCs/>
        </w:rPr>
        <w:t xml:space="preserve">Modalità operative: </w:t>
      </w:r>
    </w:p>
    <w:p>
      <w:pPr>
        <w:pStyle w:val="BodyText"/>
        <w:ind w:hanging="0" w:left="1592"/>
        <w:jc w:val="both"/>
        <w:rPr>
          <w:rFonts w:ascii="Segoe UI" w:hAnsi="Segoe UI" w:cs="Segoe UI"/>
        </w:rPr>
      </w:pPr>
      <w:r>
        <w:rPr>
          <w:rFonts w:cs="Segoe UI" w:ascii="Segoe UI" w:hAnsi="Segoe UI"/>
        </w:rPr>
        <w:t>vedi parte 2 prescrizioni tecniche</w:t>
      </w:r>
    </w:p>
    <w:p>
      <w:pPr>
        <w:pStyle w:val="BodyText"/>
        <w:ind w:hanging="0" w:left="1592"/>
        <w:jc w:val="both"/>
        <w:rPr/>
      </w:pPr>
      <w:r>
        <w:rPr>
          <w:rFonts w:cs="Segoe UI" w:ascii="Segoe UI" w:hAnsi="Segoe UI"/>
          <w:b/>
          <w:bCs/>
        </w:rPr>
        <w:t>ENTRO IL 31 DICEMBRE DELL’ANNO DI RIFERIMENTO, l’appaltatore è tenuto a presentare da un report di intervento, riportante per ciascun impianto sportivo l’elenco delle lavorazioni effettuate nel corso dell’anno, e le relative date di intervento;</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corpo.</w:t>
      </w:r>
    </w:p>
    <w:p>
      <w:pPr>
        <w:pStyle w:val="BodyText"/>
        <w:ind w:hanging="0" w:left="1592"/>
        <w:rPr>
          <w:rFonts w:ascii="Segoe UI" w:hAnsi="Segoe UI" w:cs="Segoe UI"/>
        </w:rPr>
      </w:pPr>
      <w:r>
        <w:rPr>
          <w:rFonts w:cs="Segoe UI" w:ascii="Segoe UI" w:hAnsi="Segoe UI"/>
        </w:rPr>
      </w:r>
    </w:p>
    <w:p>
      <w:pPr>
        <w:pStyle w:val="BodyText"/>
        <w:spacing w:before="129" w:after="0"/>
        <w:ind w:hanging="0" w:left="1592"/>
        <w:jc w:val="both"/>
        <w:rPr/>
      </w:pPr>
      <w:r>
        <w:rPr>
          <w:rFonts w:cs="Segoe UI" w:ascii="Segoe UI" w:hAnsi="Segoe UI"/>
          <w:b/>
          <w:bCs/>
          <w:color w:val="C9211E"/>
          <w:sz w:val="24"/>
          <w:szCs w:val="24"/>
        </w:rPr>
        <w:t>LAVORAZIONE 18</w:t>
      </w:r>
      <w:r>
        <w:rPr>
          <w:rFonts w:cs="Segoe UI" w:ascii="Segoe UI" w:hAnsi="Segoe UI"/>
          <w:b/>
          <w:bCs/>
          <w:i/>
          <w:iCs/>
          <w:color w:val="C9211E"/>
          <w:sz w:val="24"/>
          <w:szCs w:val="24"/>
        </w:rPr>
        <w:t xml:space="preserve"> Servizio di reperibilità</w:t>
      </w:r>
    </w:p>
    <w:p>
      <w:pPr>
        <w:pStyle w:val="BodyText"/>
        <w:spacing w:before="129" w:after="0"/>
        <w:ind w:hanging="0" w:left="1592"/>
        <w:jc w:val="both"/>
        <w:rPr/>
      </w:pPr>
      <w:r>
        <w:rPr>
          <w:rFonts w:cs="Segoe UI" w:ascii="Segoe UI" w:hAnsi="Segoe UI"/>
          <w:b/>
          <w:bCs/>
        </w:rPr>
        <w:t>Servizio di reperibilità</w:t>
      </w:r>
      <w:r>
        <w:rPr>
          <w:rFonts w:cs="Segoe UI" w:ascii="Segoe UI" w:hAnsi="Segoe UI"/>
        </w:rPr>
        <w:t xml:space="preserve"> al di fuori dell’orario normale di lavoro, festivi compresi 24/24 ore, per fare fronte a situazioni di emergenza che possano creare pericolo per le strutture comunali.</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costante.</w:t>
      </w:r>
    </w:p>
    <w:p>
      <w:pPr>
        <w:pStyle w:val="BodyText"/>
        <w:spacing w:before="129" w:after="0"/>
        <w:ind w:hanging="0" w:left="1592"/>
        <w:jc w:val="both"/>
        <w:rPr/>
      </w:pPr>
      <w:r>
        <w:rPr>
          <w:rFonts w:cs="Segoe UI" w:ascii="Segoe UI" w:hAnsi="Segoe UI"/>
          <w:b/>
          <w:bCs/>
        </w:rPr>
        <w:t xml:space="preserve">Modalità operative: </w:t>
      </w:r>
      <w:r>
        <w:rPr>
          <w:rFonts w:cs="Segoe UI" w:ascii="Segoe UI" w:hAnsi="Segoe UI"/>
        </w:rPr>
        <w:t>L’impresa deve costituire un servizio di Call-Center in funzione tutti i giorni compresi i prefestivi e i festivi, 24 ore su 24. Tale servizio deve assumere di fatto anche la connotazione di “ufficio reclami”, o ufficio non conformità, in grado di recepire i messaggi degli utenti delle strutture pubbliche in merito agli eventuali disservizi. Si provvederà, inoltre, a cura dell’impresa a trasmettere al Settore Lavori Pubblici copia dell’elenco chiamate e oggetto delle medesime, riferite al giorno lavorativo immediatamente precedente.</w:t>
      </w:r>
    </w:p>
    <w:p>
      <w:pPr>
        <w:pStyle w:val="BodyText"/>
        <w:spacing w:before="129" w:after="0"/>
        <w:ind w:hanging="0" w:left="1592"/>
        <w:jc w:val="both"/>
        <w:rPr/>
      </w:pPr>
      <w:r>
        <w:rPr>
          <w:rFonts w:cs="Segoe UI" w:ascii="Segoe UI" w:hAnsi="Segoe UI"/>
        </w:rPr>
        <w:t>Per maggiori dettagli , si rimanda alla parte 1, norme generali del presente Capitolato speciale d’appalto.</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corpo</w:t>
      </w:r>
    </w:p>
    <w:p>
      <w:pPr>
        <w:pStyle w:val="BodyText"/>
        <w:spacing w:before="129" w:after="0"/>
        <w:jc w:val="both"/>
        <w:rPr>
          <w:rFonts w:ascii="Segoe UI" w:hAnsi="Segoe UI" w:cs="Segoe UI"/>
        </w:rPr>
      </w:pPr>
      <w:r>
        <w:rPr>
          <w:rFonts w:cs="Segoe UI" w:ascii="Segoe UI" w:hAnsi="Segoe UI"/>
        </w:rPr>
      </w:r>
    </w:p>
    <w:p>
      <w:pPr>
        <w:pStyle w:val="BodyText"/>
        <w:spacing w:before="129" w:after="0"/>
        <w:ind w:hanging="0" w:left="1592"/>
        <w:jc w:val="both"/>
        <w:rPr/>
      </w:pPr>
      <w:r>
        <w:rPr>
          <w:rFonts w:cs="Segoe UI" w:ascii="Segoe UI" w:hAnsi="Segoe UI"/>
          <w:b/>
          <w:bCs/>
          <w:color w:val="C9211E"/>
          <w:sz w:val="24"/>
          <w:szCs w:val="24"/>
        </w:rPr>
        <w:t>LAVORAZIONE 19</w:t>
      </w:r>
      <w:r>
        <w:rPr>
          <w:rFonts w:cs="Segoe UI" w:ascii="Segoe UI" w:hAnsi="Segoe UI"/>
          <w:b/>
          <w:bCs/>
          <w:i/>
          <w:iCs/>
          <w:color w:val="C9211E"/>
          <w:sz w:val="24"/>
          <w:szCs w:val="24"/>
        </w:rPr>
        <w:t xml:space="preserve"> Aggiornamento e mantenimento censimento del verde</w:t>
      </w:r>
    </w:p>
    <w:p>
      <w:pPr>
        <w:pStyle w:val="BodyText"/>
        <w:spacing w:before="129" w:after="0"/>
        <w:ind w:hanging="0" w:left="1592"/>
        <w:jc w:val="both"/>
        <w:rPr/>
      </w:pPr>
      <w:r>
        <w:rPr>
          <w:rFonts w:cs="Segoe UI" w:ascii="Segoe UI" w:hAnsi="Segoe UI"/>
          <w:b/>
          <w:bCs/>
        </w:rPr>
        <w:t>Aggiornamento e mantenimento censimento del verde</w:t>
      </w:r>
      <w:r>
        <w:rPr>
          <w:rFonts w:cs="Segoe UI" w:ascii="Segoe UI" w:hAnsi="Segoe UI"/>
        </w:rPr>
        <w:t xml:space="preserve"> mediante software webgis. </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costante.</w:t>
      </w:r>
    </w:p>
    <w:p>
      <w:pPr>
        <w:pStyle w:val="BodyText"/>
        <w:spacing w:before="129" w:after="0"/>
        <w:ind w:hanging="0" w:left="1592"/>
        <w:jc w:val="both"/>
        <w:rPr/>
      </w:pPr>
      <w:r>
        <w:rPr>
          <w:rFonts w:cs="Segoe UI" w:ascii="Segoe UI" w:hAnsi="Segoe UI"/>
          <w:b/>
          <w:bCs/>
        </w:rPr>
        <w:t xml:space="preserve">Modalità operative: </w:t>
      </w:r>
    </w:p>
    <w:p>
      <w:pPr>
        <w:pStyle w:val="BodyText"/>
        <w:spacing w:before="129" w:after="0"/>
        <w:ind w:hanging="0" w:left="1952"/>
        <w:jc w:val="both"/>
        <w:rPr/>
      </w:pPr>
      <w:r>
        <w:rPr>
          <w:rFonts w:cs="Segoe UI" w:ascii="Segoe UI" w:hAnsi="Segoe UI"/>
        </w:rPr>
        <w:t>Attualmente, il sistema informativo Ginve è popolato con 7.679 alberi, 862 fallanze, 351 ceppaie, 230 siepi, 1586 arbusti, 241 arbusti a macchia oltre ai tappeti erbosi sottoposti a sfalcio, ubicate in parchi, giardini, piazze, aiuole, viali e scuole.</w:t>
      </w:r>
    </w:p>
    <w:p>
      <w:pPr>
        <w:pStyle w:val="BodyText"/>
        <w:spacing w:before="129" w:after="0"/>
        <w:ind w:hanging="0" w:left="1952"/>
        <w:jc w:val="both"/>
        <w:rPr/>
      </w:pPr>
      <w:r>
        <w:rPr>
          <w:rFonts w:cs="Segoe UI" w:ascii="Segoe UI" w:hAnsi="Segoe UI"/>
        </w:rPr>
        <w:t>L’appaltatore, per tutta la durata del contratto, dovrà quotidianamente aggiornare e monitorare tale patrimonio controllando, puntualmente e speditivamente, le sostituzioni, gli abbattimenti, espianti, manutenzioni, etc.</w:t>
      </w:r>
    </w:p>
    <w:p>
      <w:pPr>
        <w:pStyle w:val="BodyText"/>
        <w:spacing w:before="129" w:after="0"/>
        <w:ind w:hanging="0" w:left="1952"/>
        <w:jc w:val="both"/>
        <w:rPr/>
      </w:pPr>
      <w:r>
        <w:rPr>
          <w:rFonts w:cs="Segoe UI" w:ascii="Segoe UI" w:hAnsi="Segoe UI"/>
        </w:rPr>
        <w:t>All’interno di tale onere, così come debitamente previsto nel computo metrico estimativo, è compreso il censimento di eventuali elementi mancanti e di nuova posa.</w:t>
      </w:r>
    </w:p>
    <w:p>
      <w:pPr>
        <w:pStyle w:val="BodyText"/>
        <w:spacing w:before="129" w:after="0"/>
        <w:ind w:hanging="0" w:left="1952"/>
        <w:jc w:val="both"/>
        <w:rPr/>
      </w:pPr>
      <w:r>
        <w:rPr>
          <w:rFonts w:cs="Segoe UI" w:ascii="Segoe UI" w:hAnsi="Segoe UI"/>
        </w:rPr>
        <w:t>Sia per le operazioni di aggiornamento del dbase Ginve che di censimento dei nuovi elementi, l’appaltatore dovrà utilizzare la piattaforma WebGis Ginve già in uso presso l’Amministrazione Comunale.</w:t>
      </w:r>
    </w:p>
    <w:p>
      <w:pPr>
        <w:pStyle w:val="BodyText"/>
        <w:spacing w:before="129" w:after="0"/>
        <w:ind w:hanging="0" w:left="1952"/>
        <w:jc w:val="both"/>
        <w:rPr/>
      </w:pPr>
      <w:r>
        <w:rPr>
          <w:rFonts w:cs="Segoe UI" w:ascii="Segoe UI" w:hAnsi="Segoe UI"/>
        </w:rPr>
        <w:t>Sia per l’aggiornamento che il censimento di nuove parti, l’appaltatore dovrà allinearsi allo stato di fatto entro i primi sei mesi. Da tale data, l’aggiornamento dovrà avvenire mensilmente, seguendo il procedere delle modifiche che di volta in volta si verificheranno, in tema di abbattimenti, potature, sostituzioni, etc.</w:t>
      </w:r>
    </w:p>
    <w:p>
      <w:pPr>
        <w:pStyle w:val="BodyText"/>
        <w:spacing w:before="129" w:after="0"/>
        <w:ind w:hanging="0" w:left="1952"/>
        <w:jc w:val="both"/>
        <w:rPr/>
      </w:pPr>
      <w:r>
        <w:rPr>
          <w:rFonts w:cs="Segoe UI" w:ascii="Segoe UI" w:hAnsi="Segoe UI"/>
        </w:rPr>
        <w:t xml:space="preserve">L’allineamento del database Ginve allo stato di fatto (al momento dell’inizio del servizio), in ogni caso da completare entro 6 mesi dalla data di avvio del I </w:t>
      </w:r>
    </w:p>
    <w:p>
      <w:pPr>
        <w:pStyle w:val="BodyText"/>
        <w:spacing w:before="129" w:after="0"/>
        <w:ind w:hanging="0" w:left="1952"/>
        <w:jc w:val="both"/>
        <w:rPr/>
      </w:pPr>
      <w:r>
        <w:rPr>
          <w:rFonts w:cs="Segoe UI" w:ascii="Segoe UI" w:hAnsi="Segoe UI"/>
        </w:rPr>
        <w:t>contratto applicativo di Accordo Quadro, si intende integralmente compensato dall’affidamento annuale, per tutti e 4 gli anni di durata dell’Accordo quadro, della voce di CME denominata “Quota per aggiornamento e nuovi inserimenti per censimento di cui al sistema informativo e dbase esistente Ginve”, pari a € 10.000 annui al lordo dello sconto di gara, e dal raggiungimento, nell’ambito dell’Accordo Quadro de quo di un fatturato pari ad almeno il 75% del massimale dell’accordo quadro stesso;</w:t>
      </w:r>
    </w:p>
    <w:p>
      <w:pPr>
        <w:pStyle w:val="BodyText"/>
        <w:spacing w:before="129" w:after="0"/>
        <w:ind w:hanging="0" w:left="1952"/>
        <w:jc w:val="both"/>
        <w:rPr/>
      </w:pPr>
      <w:r>
        <w:rPr>
          <w:rFonts w:cs="Segoe UI" w:ascii="Segoe UI" w:hAnsi="Segoe UI"/>
        </w:rPr>
        <w:t xml:space="preserve">Per quanto riguarda il censimento di nuovi alberi, si dovrà prevedere l’affissione al tronco degli stessi cartellini metallici già esistenti. </w:t>
      </w:r>
    </w:p>
    <w:p>
      <w:pPr>
        <w:pStyle w:val="BodyText"/>
        <w:spacing w:before="129" w:after="0"/>
        <w:ind w:hanging="0" w:left="1952"/>
        <w:jc w:val="both"/>
        <w:rPr/>
      </w:pPr>
      <w:r>
        <w:rPr>
          <w:rFonts w:cs="Segoe UI" w:ascii="Segoe UI" w:hAnsi="Segoe UI"/>
        </w:rPr>
        <w:t>I parametri da rilevare e aggiornare sono quelli contenuti in Ginve (individuativi, dimensionali, topografici, gestionali, fotografici, etc). Restano escluse le indagini VTA siano esse visive e/o strumentali.</w:t>
      </w:r>
    </w:p>
    <w:p>
      <w:pPr>
        <w:pStyle w:val="BodyText"/>
        <w:spacing w:before="129" w:after="0"/>
        <w:ind w:hanging="0" w:left="1952"/>
        <w:jc w:val="both"/>
        <w:rPr/>
      </w:pPr>
      <w:r>
        <w:rPr>
          <w:rFonts w:cs="Segoe UI" w:ascii="Segoe UI" w:hAnsi="Segoe UI"/>
        </w:rPr>
        <w:t xml:space="preserve">Oltre a ciò, sempre attraverso la piattaforma, l’appaltatore dovrà rendicontare i lavori di manutenzione. </w:t>
      </w:r>
    </w:p>
    <w:p>
      <w:pPr>
        <w:pStyle w:val="BodyText"/>
        <w:spacing w:before="129" w:after="0"/>
        <w:ind w:hanging="0" w:left="1952"/>
        <w:jc w:val="both"/>
        <w:rPr/>
      </w:pPr>
      <w:r>
        <w:rPr>
          <w:rFonts w:cs="Segoe UI" w:ascii="Segoe UI" w:hAnsi="Segoe UI"/>
        </w:rPr>
        <w:t>Gli interventi dovranno inoltre essere rendicontati con una foto precedente all’intervento e una foto successiva.</w:t>
      </w:r>
    </w:p>
    <w:p>
      <w:pPr>
        <w:pStyle w:val="BodyText"/>
        <w:spacing w:before="129" w:after="0"/>
        <w:ind w:hanging="0" w:left="1952"/>
        <w:jc w:val="both"/>
        <w:rPr/>
      </w:pPr>
      <w:r>
        <w:rPr>
          <w:rFonts w:cs="Segoe UI" w:ascii="Segoe UI" w:hAnsi="Segoe UI"/>
        </w:rPr>
        <w:t>Per la corretta gestione delle attività oggetto del contratto di manutenzione del verde l’appaltatore dovrà partecipare sia attivamente ed autonomamente che in collaborazione coi tecnici comunali e/o con il consulente in tema di aggiornamento del database (es: in caso di abbattimento, questo dovrà essere rimosso e consegnato il prima possibile all’ufficio competente).</w:t>
      </w:r>
    </w:p>
    <w:p>
      <w:pPr>
        <w:pStyle w:val="BodyText"/>
        <w:spacing w:before="129" w:after="0"/>
        <w:ind w:hanging="0" w:left="1952"/>
        <w:jc w:val="both"/>
        <w:rPr/>
      </w:pPr>
      <w:r>
        <w:rPr>
          <w:rFonts w:cs="Segoe UI" w:ascii="Segoe UI" w:hAnsi="Segoe UI"/>
        </w:rPr>
        <w:t xml:space="preserve">Il WebGis del verde costituisce una banca dati unitaria delle informazioni correlate alla gestione del verde, è quindi da intendere come riferimento per eventuali sviluppi e specializzazioni delle informazioni da gestire. </w:t>
      </w:r>
    </w:p>
    <w:p>
      <w:pPr>
        <w:pStyle w:val="BodyText"/>
        <w:spacing w:before="129" w:after="0"/>
        <w:ind w:hanging="0" w:left="1952"/>
        <w:jc w:val="both"/>
        <w:rPr/>
      </w:pPr>
      <w:r>
        <w:rPr>
          <w:rFonts w:cs="Segoe UI" w:ascii="Segoe UI" w:hAnsi="Segoe UI"/>
        </w:rPr>
        <w:t>L’Appaltatore dovrà quindi gestire e aggiornare giornalmente tutte le lavorazioni previste dalla manutenzione che lo riguardano, siano esse ordinarie che straordinarie.</w:t>
      </w:r>
    </w:p>
    <w:p>
      <w:pPr>
        <w:pStyle w:val="BodyText"/>
        <w:spacing w:before="129" w:after="0"/>
        <w:ind w:hanging="0" w:left="1952"/>
        <w:jc w:val="both"/>
        <w:rPr/>
      </w:pPr>
      <w:r>
        <w:rPr>
          <w:rFonts w:cs="Segoe UI" w:ascii="Segoe UI" w:hAnsi="Segoe UI"/>
        </w:rPr>
        <w:t>Per rispettare gli impegni relativi all’utilizzo del Software Gestionale, l’Appaltatore dovrà acquisire una licenza di tipo manutentore e possedere nel proprio organico, o come collaboratori esterni, personale già formato o da formare mediante corso specifico.</w:t>
      </w:r>
    </w:p>
    <w:p>
      <w:pPr>
        <w:pStyle w:val="BodyText"/>
        <w:spacing w:before="129" w:after="0"/>
        <w:ind w:hanging="0" w:left="1952"/>
        <w:jc w:val="both"/>
        <w:rPr/>
      </w:pPr>
      <w:r>
        <w:rPr>
          <w:rFonts w:cs="Segoe UI" w:ascii="Segoe UI" w:hAnsi="Segoe UI"/>
        </w:rPr>
        <w:t>La Stazione appaltante non riconoscerà alcun costo relativo a formazione o trasferimento di Know-how all’Appaltatore.</w:t>
      </w:r>
    </w:p>
    <w:p>
      <w:pPr>
        <w:pStyle w:val="BodyText"/>
        <w:spacing w:before="129" w:after="0"/>
        <w:ind w:hanging="0" w:left="1952"/>
        <w:jc w:val="both"/>
        <w:rPr/>
      </w:pPr>
      <w:r>
        <w:rPr>
          <w:rFonts w:cs="Segoe UI" w:ascii="Segoe UI" w:hAnsi="Segoe UI"/>
        </w:rPr>
        <w:t xml:space="preserve">Unitamente alla licenza manutentore l’appaltatore dovrà fornire, per il periodo di validità della gara in oggetto, un sistema integrato di rilevazione e geolocalizzazione dei mezzi operativi relativi alla gestione del verde e della pulizia. Tale sistema dovrà essere integrato con il WebGis esistente. La posizione dei mezzi dovrà essere verificabile con un aggiornamento massimo di 5 minuti. </w:t>
      </w:r>
    </w:p>
    <w:p>
      <w:pPr>
        <w:pStyle w:val="BodyText"/>
        <w:spacing w:before="129" w:after="0"/>
        <w:ind w:hanging="0" w:left="1952"/>
        <w:jc w:val="both"/>
        <w:rPr/>
      </w:pPr>
      <w:r>
        <w:rPr>
          <w:rFonts w:cs="Segoe UI" w:ascii="Segoe UI" w:hAnsi="Segoe UI"/>
        </w:rPr>
        <w:t xml:space="preserve">L’appaltatore dovrà inoltre dotarsi di un sistema di gestione delle segnalazioni da parte del personale comunale o del consulente direttore dei lavori. </w:t>
      </w:r>
    </w:p>
    <w:p>
      <w:pPr>
        <w:pStyle w:val="BodyText"/>
        <w:spacing w:before="129" w:after="0"/>
        <w:ind w:hanging="0" w:left="1952"/>
        <w:jc w:val="both"/>
        <w:rPr/>
      </w:pPr>
      <w:r>
        <w:rPr>
          <w:rFonts w:cs="Segoe UI" w:ascii="Segoe UI" w:hAnsi="Segoe UI"/>
        </w:rPr>
        <w:t xml:space="preserve">Tale sistema dovrà essere integrato con il WebGis in uso presso </w:t>
      </w:r>
    </w:p>
    <w:p>
      <w:pPr>
        <w:pStyle w:val="BodyText"/>
        <w:spacing w:before="129" w:after="0"/>
        <w:ind w:hanging="0" w:left="1952"/>
        <w:jc w:val="both"/>
        <w:rPr/>
      </w:pPr>
      <w:r>
        <w:rPr>
          <w:rFonts w:cs="Segoe UI" w:ascii="Segoe UI" w:hAnsi="Segoe UI"/>
        </w:rPr>
        <w:t>l’amministrazione comunale. Ci si attende che gli interventi eseguiti a fronte della segnalazione vengano automaticamente inseriti nell’applicativo WebGis. Tale sistema dovrà, inoltre, tracciare la segnalazione fino alla risoluzione della stessa.</w:t>
      </w:r>
    </w:p>
    <w:p>
      <w:pPr>
        <w:pStyle w:val="BodyText"/>
        <w:spacing w:before="129" w:after="0"/>
        <w:ind w:hanging="0" w:left="1952"/>
        <w:jc w:val="both"/>
        <w:rPr/>
      </w:pPr>
      <w:r>
        <w:rPr>
          <w:rFonts w:cs="Segoe UI" w:ascii="Segoe UI" w:hAnsi="Segoe UI"/>
        </w:rPr>
        <w:t>Nel primo anno di appalto l'impresa dovrà censire e restituire nel software Ginve in uso il censimento di tutte le attrezzature e pavimentazioni esistenti. Successivamente a ciò, ogni qual volta verranno installati dei nuovi giochi/pavimentazioni, entro 90gg, il dbase Ginve dovrà essere aggiornato.</w:t>
      </w:r>
    </w:p>
    <w:p>
      <w:pPr>
        <w:pStyle w:val="BodyText"/>
        <w:spacing w:before="129" w:after="0"/>
        <w:ind w:hanging="0" w:left="1952"/>
        <w:jc w:val="both"/>
        <w:rPr>
          <w:rFonts w:ascii="Segoe UI" w:hAnsi="Segoe UI" w:cs="Segoe UI"/>
        </w:rPr>
      </w:pPr>
      <w:r>
        <w:rPr>
          <w:rFonts w:cs="Segoe UI" w:ascii="Segoe UI" w:hAnsi="Segoe UI"/>
        </w:rPr>
        <w:t>È ammesso l’utilizzo di un sistema software alternativo ed equivalente a quello in uso all’amministrazione, fatto salvo quanto prescritto all’art. 12 del documento “CSA 2 PRESCRIZIONI TECNICHE. Resta inteso che ogni attività di conversione e trasferimento del database, nonché la messa a disposizione del DEC e del RUP di nr. 2 licenze di utilizzo per tutta la durata dell’Accordo Quadro, aumentata di 1 anno, rimane a totale carico dell’impresa.</w:t>
      </w:r>
    </w:p>
    <w:p>
      <w:pPr>
        <w:pStyle w:val="BodyText"/>
        <w:spacing w:before="129" w:after="0"/>
        <w:ind w:hanging="0" w:left="1592"/>
        <w:jc w:val="both"/>
        <w:rPr/>
      </w:pPr>
      <w:r>
        <w:rPr>
          <w:rFonts w:cs="Segoe UI" w:ascii="Segoe UI" w:hAnsi="Segoe UI"/>
          <w:b/>
          <w:bCs/>
        </w:rPr>
        <w:t xml:space="preserve">Dimensionamento della lavorazione: </w:t>
      </w:r>
      <w:r>
        <w:rPr>
          <w:rFonts w:cs="Segoe UI" w:ascii="Segoe UI" w:hAnsi="Segoe UI"/>
        </w:rPr>
        <w:t>a corpo</w:t>
      </w:r>
    </w:p>
    <w:p>
      <w:pPr>
        <w:pStyle w:val="BodyText"/>
        <w:ind w:hanging="0" w:left="1592"/>
        <w:rPr>
          <w:rFonts w:ascii="Segoe UI" w:hAnsi="Segoe UI" w:cs="Segoe UI"/>
        </w:rPr>
      </w:pPr>
      <w:r>
        <w:rPr>
          <w:rFonts w:cs="Segoe UI" w:ascii="Segoe UI" w:hAnsi="Segoe UI"/>
        </w:rPr>
      </w:r>
    </w:p>
    <w:p>
      <w:pPr>
        <w:pStyle w:val="BodyText"/>
        <w:spacing w:before="129" w:after="0"/>
        <w:ind w:hanging="0" w:left="1592"/>
        <w:jc w:val="both"/>
        <w:rPr/>
      </w:pPr>
      <w:r>
        <w:rPr>
          <w:rFonts w:cs="Segoe UI" w:ascii="Segoe UI" w:hAnsi="Segoe UI"/>
          <w:b/>
          <w:bCs/>
          <w:color w:val="C9211E"/>
          <w:sz w:val="24"/>
          <w:szCs w:val="24"/>
        </w:rPr>
        <w:t>LAVORAZIONE 20</w:t>
      </w:r>
      <w:r>
        <w:rPr>
          <w:rFonts w:cs="Segoe UI" w:ascii="Segoe UI" w:hAnsi="Segoe UI"/>
          <w:b/>
          <w:bCs/>
          <w:i/>
          <w:iCs/>
          <w:color w:val="C9211E"/>
          <w:sz w:val="24"/>
          <w:szCs w:val="24"/>
        </w:rPr>
        <w:t xml:space="preserve"> Manutenzione aree gioco attrezzate</w:t>
      </w:r>
    </w:p>
    <w:p>
      <w:pPr>
        <w:pStyle w:val="BodyText"/>
        <w:spacing w:before="129" w:after="0"/>
        <w:ind w:hanging="0" w:left="1592"/>
        <w:jc w:val="both"/>
        <w:rPr/>
      </w:pPr>
      <w:r>
        <w:rPr>
          <w:rFonts w:cs="Segoe UI" w:ascii="Segoe UI" w:hAnsi="Segoe UI"/>
          <w:b/>
          <w:bCs/>
        </w:rPr>
        <w:t>Manutenzione aree gioco:</w:t>
      </w:r>
      <w:r>
        <w:rPr>
          <w:rFonts w:cs="Segoe UI" w:ascii="Segoe UI" w:hAnsi="Segoe UI"/>
        </w:rPr>
        <w:t xml:space="preserve"> l’intervento consiste nel controllo periodico, nella manutenzione ordinaria e nella manutenzione a guasto dei giochi per ogni fascia d’età e delle pavimentazioni ad assorbimento d’urto presenti nel territorio del Comune di Pioltello, eseguita nel rispetto della normativa UNI-EN 1176 ed eseguita da personale specializzato.</w:t>
      </w:r>
    </w:p>
    <w:p>
      <w:pPr>
        <w:pStyle w:val="BodyText"/>
        <w:ind w:hanging="0" w:left="1592"/>
        <w:jc w:val="both"/>
        <w:rPr/>
      </w:pPr>
      <w:r>
        <w:rPr>
          <w:rFonts w:cs="Segoe UI" w:ascii="Segoe UI" w:hAnsi="Segoe UI"/>
        </w:rPr>
        <w:t>I controlli sullo stato di manutenzione di tutte le aree gioco del territorio cittadino si dividono in 3 tipologie e le ispezioni sono così suddivise:</w:t>
      </w:r>
    </w:p>
    <w:p>
      <w:pPr>
        <w:pStyle w:val="BodyText"/>
        <w:ind w:hanging="0" w:left="1592"/>
        <w:jc w:val="both"/>
        <w:rPr>
          <w:rFonts w:ascii="Segoe UI" w:hAnsi="Segoe UI" w:cs="Segoe UI"/>
        </w:rPr>
      </w:pPr>
      <w:r>
        <w:rPr>
          <w:rFonts w:cs="Segoe UI" w:ascii="Segoe UI" w:hAnsi="Segoe UI"/>
        </w:rPr>
      </w:r>
    </w:p>
    <w:p>
      <w:pPr>
        <w:pStyle w:val="BodyText"/>
        <w:numPr>
          <w:ilvl w:val="0"/>
          <w:numId w:val="0"/>
        </w:numPr>
        <w:ind w:hanging="0" w:left="1800"/>
        <w:jc w:val="both"/>
        <w:rPr/>
      </w:pPr>
      <w:r>
        <w:rPr>
          <w:rFonts w:cs="Segoe UI" w:ascii="Segoe UI" w:hAnsi="Segoe UI"/>
        </w:rPr>
        <w:t xml:space="preserve">A. ISPEZIONE VISIVA ORDINARIA (monitoraggio): osservazione veloce, destinata a individuare i pericoli evidenti – frequenza: ALMENO QUINDICINALE (nelle aree più frequentate, individuate dal Direttore, SETTIMANALE); </w:t>
        <w:tab/>
      </w:r>
    </w:p>
    <w:p>
      <w:pPr>
        <w:pStyle w:val="BodyText"/>
        <w:numPr>
          <w:ilvl w:val="0"/>
          <w:numId w:val="0"/>
        </w:numPr>
        <w:ind w:hanging="0" w:left="1800"/>
        <w:jc w:val="both"/>
        <w:rPr/>
      </w:pPr>
      <w:r>
        <w:rPr>
          <w:rFonts w:cs="Segoe UI" w:ascii="Segoe UI" w:hAnsi="Segoe UI"/>
        </w:rPr>
        <w:t xml:space="preserve">B. ISPEZIONE OPERATIVA: per verificare nel dettaglio lo stato dell’attrezzatura più precisamente: </w:t>
      </w:r>
    </w:p>
    <w:p>
      <w:pPr>
        <w:pStyle w:val="BodyText"/>
        <w:numPr>
          <w:ilvl w:val="3"/>
          <w:numId w:val="2"/>
        </w:numPr>
        <w:jc w:val="both"/>
        <w:rPr/>
      </w:pPr>
      <w:r>
        <w:rPr>
          <w:rFonts w:cs="Segoe UI" w:ascii="Segoe UI" w:hAnsi="Segoe UI"/>
        </w:rPr>
        <w:t>controllo del grado di conservazione della pavimentazione;</w:t>
      </w:r>
    </w:p>
    <w:p>
      <w:pPr>
        <w:pStyle w:val="BodyText"/>
        <w:numPr>
          <w:ilvl w:val="3"/>
          <w:numId w:val="2"/>
        </w:numPr>
        <w:jc w:val="both"/>
        <w:rPr/>
      </w:pPr>
      <w:r>
        <w:rPr>
          <w:rFonts w:cs="Segoe UI" w:ascii="Segoe UI" w:hAnsi="Segoe UI"/>
        </w:rPr>
        <w:t>controllo dei livelli delle superfici con materiali finiti sfusi;</w:t>
      </w:r>
    </w:p>
    <w:p>
      <w:pPr>
        <w:pStyle w:val="BodyText"/>
        <w:numPr>
          <w:ilvl w:val="3"/>
          <w:numId w:val="2"/>
        </w:numPr>
        <w:jc w:val="both"/>
        <w:rPr/>
      </w:pPr>
      <w:r>
        <w:rPr>
          <w:rFonts w:cs="Segoe UI" w:ascii="Segoe UI" w:hAnsi="Segoe UI"/>
        </w:rPr>
        <w:t>controllo dello stato delle fondazioni;</w:t>
      </w:r>
    </w:p>
    <w:p>
      <w:pPr>
        <w:pStyle w:val="BodyText"/>
        <w:numPr>
          <w:ilvl w:val="3"/>
          <w:numId w:val="2"/>
        </w:numPr>
        <w:jc w:val="both"/>
        <w:rPr/>
      </w:pPr>
      <w:r>
        <w:rPr>
          <w:rFonts w:cs="Segoe UI" w:ascii="Segoe UI" w:hAnsi="Segoe UI"/>
        </w:rPr>
        <w:t>controllo della stabilità dell’attrezzatura gioco;</w:t>
      </w:r>
    </w:p>
    <w:p>
      <w:pPr>
        <w:pStyle w:val="BodyText"/>
        <w:numPr>
          <w:ilvl w:val="3"/>
          <w:numId w:val="2"/>
        </w:numPr>
        <w:jc w:val="both"/>
        <w:rPr/>
      </w:pPr>
      <w:r>
        <w:rPr>
          <w:rFonts w:cs="Segoe UI" w:ascii="Segoe UI" w:hAnsi="Segoe UI"/>
        </w:rPr>
        <w:t>controllo del corretto serraggio degli elementi di fissaggio;</w:t>
      </w:r>
    </w:p>
    <w:p>
      <w:pPr>
        <w:pStyle w:val="BodyText"/>
        <w:numPr>
          <w:ilvl w:val="3"/>
          <w:numId w:val="2"/>
        </w:numPr>
        <w:jc w:val="both"/>
        <w:rPr/>
      </w:pPr>
      <w:r>
        <w:rPr>
          <w:rFonts w:cs="Segoe UI" w:ascii="Segoe UI" w:hAnsi="Segoe UI"/>
        </w:rPr>
        <w:t>controllo dello stato della verniciatura e trattamento delle superfici;</w:t>
      </w:r>
    </w:p>
    <w:p>
      <w:pPr>
        <w:pStyle w:val="BodyText"/>
        <w:numPr>
          <w:ilvl w:val="3"/>
          <w:numId w:val="2"/>
        </w:numPr>
        <w:jc w:val="both"/>
        <w:rPr/>
      </w:pPr>
      <w:r>
        <w:rPr>
          <w:rFonts w:cs="Segoe UI" w:ascii="Segoe UI" w:hAnsi="Segoe UI"/>
        </w:rPr>
        <w:t>controllo dello stato della lubrificazione dei giunti;</w:t>
      </w:r>
    </w:p>
    <w:p>
      <w:pPr>
        <w:pStyle w:val="BodyText"/>
        <w:numPr>
          <w:ilvl w:val="3"/>
          <w:numId w:val="2"/>
        </w:numPr>
        <w:jc w:val="both"/>
        <w:rPr/>
      </w:pPr>
      <w:r>
        <w:rPr>
          <w:rFonts w:cs="Segoe UI" w:ascii="Segoe UI" w:hAnsi="Segoe UI"/>
        </w:rPr>
        <w:t>controllo delle parti di maggior uso come: sedili, catene reti e scivoli;</w:t>
      </w:r>
    </w:p>
    <w:p>
      <w:pPr>
        <w:pStyle w:val="BodyText"/>
        <w:numPr>
          <w:ilvl w:val="3"/>
          <w:numId w:val="2"/>
        </w:numPr>
        <w:jc w:val="both"/>
        <w:rPr/>
      </w:pPr>
      <w:r>
        <w:rPr>
          <w:rFonts w:cs="Segoe UI" w:ascii="Segoe UI" w:hAnsi="Segoe UI"/>
        </w:rPr>
        <w:t>controllo dell’eventuale presenza di parti scheggiate</w:t>
      </w:r>
    </w:p>
    <w:p>
      <w:pPr>
        <w:pStyle w:val="BodyText"/>
        <w:numPr>
          <w:ilvl w:val="3"/>
          <w:numId w:val="2"/>
        </w:numPr>
        <w:jc w:val="both"/>
        <w:rPr/>
      </w:pPr>
      <w:r>
        <w:rPr>
          <w:rFonts w:cs="Segoe UI" w:ascii="Segoe UI" w:hAnsi="Segoe UI"/>
        </w:rPr>
        <w:t xml:space="preserve">controllo visivo di eventuali parti mancanti o danneggiate e rotture dovute a </w:t>
      </w:r>
    </w:p>
    <w:p>
      <w:pPr>
        <w:pStyle w:val="BodyText"/>
        <w:numPr>
          <w:ilvl w:val="3"/>
          <w:numId w:val="2"/>
        </w:numPr>
        <w:jc w:val="both"/>
        <w:rPr/>
      </w:pPr>
      <w:r>
        <w:rPr>
          <w:rFonts w:cs="Segoe UI" w:ascii="Segoe UI" w:hAnsi="Segoe UI"/>
        </w:rPr>
        <w:t>vecchiaia o atti vandalici;</w:t>
      </w:r>
    </w:p>
    <w:p>
      <w:pPr>
        <w:pStyle w:val="BodyText"/>
        <w:numPr>
          <w:ilvl w:val="3"/>
          <w:numId w:val="2"/>
        </w:numPr>
        <w:jc w:val="both"/>
        <w:rPr/>
      </w:pPr>
      <w:r>
        <w:rPr>
          <w:rFonts w:cs="Segoe UI" w:ascii="Segoe UI" w:hAnsi="Segoe UI"/>
        </w:rPr>
        <w:t>controllo dei requisiti normativi minimi, con particolare attenzione all’intrappolamento.</w:t>
      </w:r>
    </w:p>
    <w:p>
      <w:pPr>
        <w:pStyle w:val="BodyText"/>
        <w:ind w:hanging="0" w:left="1952"/>
        <w:jc w:val="both"/>
        <w:rPr/>
      </w:pPr>
      <w:r>
        <w:rPr>
          <w:rFonts w:cs="Segoe UI" w:ascii="Segoe UI" w:hAnsi="Segoe UI"/>
        </w:rPr>
        <w:t>L’operazione del punto b. è necessaria per richiedere il preventivo di riparazione.</w:t>
      </w:r>
    </w:p>
    <w:p>
      <w:pPr>
        <w:pStyle w:val="BodyText"/>
        <w:ind w:hanging="0" w:left="1952"/>
        <w:jc w:val="both"/>
        <w:rPr/>
      </w:pPr>
      <w:r>
        <w:rPr>
          <w:rFonts w:cs="Segoe UI" w:ascii="Segoe UI" w:hAnsi="Segoe UI"/>
        </w:rPr>
        <w:t xml:space="preserve">Frequenza: OGNI 3 MESI E SU NECESSITA’ / SEGNALAZIONE </w:t>
      </w:r>
    </w:p>
    <w:p>
      <w:pPr>
        <w:pStyle w:val="BodyText"/>
        <w:numPr>
          <w:ilvl w:val="0"/>
          <w:numId w:val="0"/>
        </w:numPr>
        <w:ind w:hanging="0" w:left="1800"/>
        <w:jc w:val="both"/>
        <w:rPr/>
      </w:pPr>
      <w:r>
        <w:rPr>
          <w:rFonts w:cs="Segoe UI" w:ascii="Segoe UI" w:hAnsi="Segoe UI"/>
        </w:rPr>
        <w:t>C. ISPEZIONE PRINCIPALE ANNUALE: serve per verificare il livello globale di sicurezza, la stabilità, lo stato dei singoli componenti e porta alla compilazione di una nota sul “fascicolo manutentivo”.</w:t>
      </w:r>
    </w:p>
    <w:p>
      <w:pPr>
        <w:pStyle w:val="BodyText"/>
        <w:ind w:hanging="0" w:left="1952"/>
        <w:jc w:val="both"/>
        <w:rPr/>
      </w:pPr>
      <w:r>
        <w:rPr>
          <w:rFonts w:cs="Segoe UI" w:ascii="Segoe UI" w:hAnsi="Segoe UI"/>
        </w:rPr>
        <w:t>Modalità operative: l’intervento ha come obbiettivo il mantenimento funzionale delle varie attrezzature ludiche in legno, metallo, plastica riciclata, HPL, ecc., della loro componentistica e delle pavimentazioni in gomma riciclata in granuli e/o in piastrelle.</w:t>
      </w:r>
    </w:p>
    <w:p>
      <w:pPr>
        <w:pStyle w:val="BodyText"/>
        <w:ind w:hanging="0" w:left="1952"/>
        <w:jc w:val="both"/>
        <w:rPr/>
      </w:pPr>
      <w:r>
        <w:rPr>
          <w:rFonts w:cs="Segoe UI" w:ascii="Segoe UI" w:hAnsi="Segoe UI"/>
          <w:b/>
          <w:bCs/>
        </w:rPr>
        <w:t>Manutenzione ordinaria:</w:t>
      </w:r>
      <w:r>
        <w:rPr>
          <w:rFonts w:cs="Segoe UI" w:ascii="Segoe UI" w:hAnsi="Segoe UI"/>
        </w:rPr>
        <w:t xml:space="preserve"> le strutture dei giochi dovranno essere sottoposte almeno una volta all’anno ad un intervento di manutenzione ordinaria completa, che interesserà la totalità delle parti che compongono il gioco.</w:t>
      </w:r>
    </w:p>
    <w:p>
      <w:pPr>
        <w:pStyle w:val="BodyText"/>
        <w:numPr>
          <w:ilvl w:val="4"/>
          <w:numId w:val="2"/>
        </w:numPr>
        <w:jc w:val="both"/>
        <w:rPr/>
      </w:pPr>
      <w:r>
        <w:rPr>
          <w:rFonts w:cs="Segoe UI" w:ascii="Segoe UI" w:hAnsi="Segoe UI"/>
        </w:rPr>
        <w:t>Le parti in legno dovranno essere sottoposte a carteggiatura generale e totale per eliminare le eventuali schegge, dislivelli o qualsiasi altro che possa pregiudicare l’incolumità degli utenti. A carteggiatura ultimata le parti in legno andranno trattate con una o più mani di impregnante a seconda dei casi, dato a pennello e/o rullo; l’impregnante dovrà essere scelto tra i tipi proposti dai produttori dei giochi oppure di altro marca ma compatibile con l’esistente. Il materiale dovrà essere sottoposto al Direttore dell’esecuzione per l’accettazione.</w:t>
      </w:r>
    </w:p>
    <w:p>
      <w:pPr>
        <w:pStyle w:val="BodyText"/>
        <w:numPr>
          <w:ilvl w:val="4"/>
          <w:numId w:val="2"/>
        </w:numPr>
        <w:jc w:val="both"/>
        <w:rPr/>
      </w:pPr>
      <w:r>
        <w:rPr>
          <w:rFonts w:cs="Segoe UI" w:ascii="Segoe UI" w:hAnsi="Segoe UI"/>
        </w:rPr>
        <w:t>Per le strutture in metallo è previsto un intervento di eliminazione delle scritte con appositi solventi che non vadano a danneggiare lo strato di verniciatura sottostante, di serraggio della bulloneria, di sostituzione della parti metalliche soggette ad usura quali catene, snodi di movimento e quant’altro presente.</w:t>
      </w:r>
    </w:p>
    <w:p>
      <w:pPr>
        <w:pStyle w:val="BodyText"/>
        <w:numPr>
          <w:ilvl w:val="4"/>
          <w:numId w:val="2"/>
        </w:numPr>
        <w:jc w:val="both"/>
        <w:rPr/>
      </w:pPr>
      <w:r>
        <w:rPr>
          <w:rFonts w:cs="Segoe UI" w:ascii="Segoe UI" w:hAnsi="Segoe UI"/>
        </w:rPr>
        <w:t>Per le parti che compongono il gioco realizzate in HPL, polietilene, corde per arrampicate, vale lo stesso discorso fatto per le due tipologie sopra descritte.</w:t>
      </w:r>
    </w:p>
    <w:p>
      <w:pPr>
        <w:pStyle w:val="BodyText"/>
        <w:numPr>
          <w:ilvl w:val="4"/>
          <w:numId w:val="2"/>
        </w:numPr>
        <w:jc w:val="both"/>
        <w:rPr/>
      </w:pPr>
      <w:r>
        <w:rPr>
          <w:rFonts w:cs="Segoe UI" w:ascii="Segoe UI" w:hAnsi="Segoe UI"/>
        </w:rPr>
        <w:t>Per le parti del gioco soggette ad usura quali catene delle altalene, snodi di movimenti, bulloni, copri palo gradini, corde, sbarre, ecc. andranno sostituite nel più breve tempo possibile con altri forniti dalla casa produttrice del gioco ove possibile: nel caso andranno sostituiti con pezzi conformi all’originale. Non sono ammesse modifiche di nessun genere all’impianto certificato UNI-EN 1176: in caso contrario l’appaltatore è tenuto alla sostituzione immediata della parte e in ultima analisi, alla sostituzione totale dell’attrezzatura ludica.</w:t>
      </w:r>
    </w:p>
    <w:p>
      <w:pPr>
        <w:pStyle w:val="BodyText"/>
        <w:numPr>
          <w:ilvl w:val="4"/>
          <w:numId w:val="2"/>
        </w:numPr>
        <w:jc w:val="both"/>
        <w:rPr/>
      </w:pPr>
      <w:r>
        <w:rPr>
          <w:rFonts w:cs="Segoe UI" w:ascii="Segoe UI" w:hAnsi="Segoe UI"/>
        </w:rPr>
        <w:t>Per le pavimentazioni le riparazione andranno effettuate con materiale identico all’esistente e a lavoro ultimato la pavimentazione dovrà rispondere sempre alla normativa UNI-EN 1177.</w:t>
      </w:r>
    </w:p>
    <w:p>
      <w:pPr>
        <w:pStyle w:val="BodyText"/>
        <w:ind w:hanging="0" w:left="1952"/>
        <w:jc w:val="both"/>
        <w:rPr/>
      </w:pPr>
      <w:r>
        <w:rPr>
          <w:rFonts w:cs="Segoe UI" w:ascii="Segoe UI" w:hAnsi="Segoe UI"/>
          <w:b/>
          <w:bCs/>
        </w:rPr>
        <w:t>Manutenzione a guasto:</w:t>
      </w:r>
      <w:r>
        <w:rPr>
          <w:rFonts w:cs="Segoe UI" w:ascii="Segoe UI" w:hAnsi="Segoe UI"/>
        </w:rPr>
        <w:t xml:space="preserve"> la manutenzione a guasto intesa come sostituzione completa di parti di gioco, andrà eseguita ogni volta che se ne presenti la necessità, accertata mediante le ispezioni periodiche ed il monitoraggio oppure su segnalazione.</w:t>
      </w:r>
    </w:p>
    <w:p>
      <w:pPr>
        <w:pStyle w:val="BodyText"/>
        <w:ind w:hanging="0" w:left="1952"/>
        <w:jc w:val="both"/>
        <w:rPr/>
      </w:pPr>
      <w:r>
        <w:rPr>
          <w:rFonts w:cs="Segoe UI" w:ascii="Segoe UI" w:hAnsi="Segoe UI"/>
        </w:rPr>
        <w:t>Le parti ammalorate per cause naturali, di consumo o vandalismo, andranno sostituite nel più breve tempo possibile con altri forniti dalla casa produttrice del gioco ove possibile: nel caso andranno sostituiti con pezzi conformi all’originale. Non sono ammesse modifiche di nessun genere all’impianto certificato UNI-EN 1176: in caso contrario l’appaltatore è tenuto alla sostituzione immediata della parte e in ultima analisi, alla sostituzione totale dell’attrezzatura ludica.</w:t>
      </w:r>
    </w:p>
    <w:p>
      <w:pPr>
        <w:pStyle w:val="BodyText"/>
        <w:ind w:hanging="0" w:left="1952"/>
        <w:jc w:val="both"/>
        <w:rPr/>
      </w:pPr>
      <w:r>
        <w:rPr>
          <w:rFonts w:cs="Segoe UI" w:ascii="Segoe UI" w:hAnsi="Segoe UI"/>
        </w:rPr>
        <w:t>In caso di segregazione dei giochi per manifesta impossibilità all’uso, l’appaltatore è tenuto il giorno stesso della segnalazione o accertamento e a sue cura e spese, ad impedire in modo fisico all’utilizzo del gioco mediante segnalazioni con nastri, recinzioni colorate, pannelli e dovrà installare apposito cartello indicatore.</w:t>
      </w:r>
    </w:p>
    <w:p>
      <w:pPr>
        <w:pStyle w:val="BodyText"/>
        <w:ind w:hanging="0" w:left="1952"/>
        <w:jc w:val="both"/>
        <w:rPr/>
      </w:pPr>
      <w:r>
        <w:rPr>
          <w:rFonts w:cs="Segoe UI" w:ascii="Segoe UI" w:hAnsi="Segoe UI"/>
          <w:b/>
          <w:bCs/>
        </w:rPr>
        <w:t>Monitoraggio:</w:t>
      </w:r>
      <w:r>
        <w:rPr>
          <w:rFonts w:cs="Segoe UI" w:ascii="Segoe UI" w:hAnsi="Segoe UI"/>
        </w:rPr>
        <w:t xml:space="preserve"> per poter armonizzare le operazioni di monitoraggio dei giochi e delle aree ludiche, l’appaltatore è tenuto a redigere a sua cura e spesa una scheda suddivisa per ogni area e ogni gioco presente in essa, compresa la pavimentazione: detto censimento dovrà essere riportato su supporto informatico e su supporto cartaceo, formato da condividere con il Direttore dell’esecuzione,  creando così un apposito “fascicolo manutentivo”. </w:t>
      </w:r>
    </w:p>
    <w:p>
      <w:pPr>
        <w:pStyle w:val="BodyText"/>
        <w:ind w:hanging="0" w:left="1952"/>
        <w:jc w:val="both"/>
        <w:rPr/>
      </w:pPr>
      <w:r>
        <w:rPr>
          <w:rFonts w:cs="Segoe UI" w:ascii="Segoe UI" w:hAnsi="Segoe UI"/>
        </w:rPr>
        <w:t>Sul fascicolo manutentivo oltre ai dati generali dell’area e del singolo gioco, andranno annotati tutti gli interventi di manutenzione ordinaria e straordinaria che si eseguiranno via via, oltre agli interventi di monitoraggio, ispezione operativa e ispezione annuale.</w:t>
      </w:r>
    </w:p>
    <w:p>
      <w:pPr>
        <w:pStyle w:val="BodyText"/>
        <w:ind w:hanging="0" w:left="1952"/>
        <w:jc w:val="both"/>
        <w:rPr/>
      </w:pPr>
      <w:r>
        <w:rPr>
          <w:rFonts w:cs="Segoe UI" w:ascii="Segoe UI" w:hAnsi="Segoe UI"/>
          <w:b/>
          <w:bCs/>
        </w:rPr>
        <w:t>Entro 6 mesi dall’affidamento del I contratto applicativo l’appaltatore dovrà presentare per ciascuna delle aree gioco censite nell’Allegato A5 i fascicoli manutentivi aggiornati.</w:t>
      </w:r>
    </w:p>
    <w:p>
      <w:pPr>
        <w:pStyle w:val="BodyText"/>
        <w:ind w:hanging="0" w:left="1952"/>
        <w:jc w:val="both"/>
        <w:rPr/>
      </w:pPr>
      <w:r>
        <w:rPr>
          <w:rFonts w:cs="Segoe UI" w:ascii="Segoe UI" w:hAnsi="Segoe UI"/>
          <w:b/>
          <w:bCs/>
        </w:rPr>
        <w:t>In seguito, i fascicoli manutentivi, sempre aggiornati, dovranno essere in ogni momento disponibili e consultabili dal DEC.</w:t>
      </w:r>
    </w:p>
    <w:p>
      <w:pPr>
        <w:pStyle w:val="BodyText"/>
        <w:ind w:hanging="0" w:left="1952"/>
        <w:jc w:val="both"/>
        <w:rPr/>
      </w:pPr>
      <w:r>
        <w:rPr>
          <w:rFonts w:cs="Segoe UI" w:ascii="Segoe UI" w:hAnsi="Segoe UI"/>
          <w:b/>
          <w:bCs/>
        </w:rPr>
        <w:t>Personale operativo:</w:t>
      </w:r>
      <w:r>
        <w:rPr>
          <w:rFonts w:cs="Segoe UI" w:ascii="Segoe UI" w:hAnsi="Segoe UI"/>
        </w:rPr>
        <w:t xml:space="preserve"> il monitoraggio e le ispezioni periodiche ed annuali, le manutenzioni, le riparazioni e la tenuta dei fascicoli dovrà essere eseguito da personale specializzato con provata esperienza.</w:t>
      </w:r>
    </w:p>
    <w:p>
      <w:pPr>
        <w:pStyle w:val="BodyText"/>
        <w:ind w:hanging="0" w:left="1952"/>
        <w:jc w:val="both"/>
        <w:rPr/>
      </w:pPr>
      <w:r>
        <w:rPr>
          <w:rFonts w:cs="Segoe UI" w:ascii="Segoe UI" w:hAnsi="Segoe UI"/>
          <w:b/>
          <w:bCs/>
          <w:color w:val="000000"/>
        </w:rPr>
        <w:t>Dimensionamento:</w:t>
      </w:r>
      <w:r>
        <w:rPr>
          <w:rFonts w:cs="Segoe UI" w:ascii="Segoe UI" w:hAnsi="Segoe UI"/>
          <w:color w:val="000000"/>
        </w:rPr>
        <w:t xml:space="preserve"> a corpo e a misura; la ispezioni di cui ai punti a,b,c, la tenuta dei fascicoli manutentivi, nonché tutte le lavorazioni elencate al punto 2.c.3 (manutenzione ordinaria) si intendono integralmente compensate nel canone annuale. Le manutenzioni straordinarie sono disposte dal DEC su proposta dell’appaltatore, a cui spetta la produzione del preventivo di spesa.</w:t>
      </w:r>
    </w:p>
    <w:p>
      <w:pPr>
        <w:pStyle w:val="BodyText"/>
        <w:spacing w:before="129" w:after="0"/>
        <w:ind w:hanging="0" w:left="1592"/>
        <w:jc w:val="both"/>
        <w:rPr>
          <w:rFonts w:ascii="Segoe UI" w:hAnsi="Segoe UI" w:cs="Segoe UI"/>
        </w:rPr>
      </w:pPr>
      <w:r>
        <w:rPr>
          <w:rFonts w:cs="Segoe UI" w:ascii="Segoe UI" w:hAnsi="Segoe UI"/>
        </w:rPr>
      </w:r>
    </w:p>
    <w:p>
      <w:pPr>
        <w:pStyle w:val="BodyText"/>
        <w:spacing w:before="129" w:after="0"/>
        <w:ind w:hanging="0" w:left="1592"/>
        <w:jc w:val="both"/>
        <w:rPr/>
      </w:pPr>
      <w:r>
        <w:rPr>
          <w:rFonts w:cs="Segoe UI" w:ascii="Segoe UI" w:hAnsi="Segoe UI"/>
          <w:b/>
          <w:bCs/>
          <w:color w:val="C9211E"/>
          <w:sz w:val="24"/>
          <w:szCs w:val="24"/>
        </w:rPr>
        <w:t>LAVORAZIONE 20 (21.1-21.2-21.3-21.4)</w:t>
      </w:r>
      <w:r>
        <w:rPr>
          <w:rFonts w:cs="Segoe UI" w:ascii="Segoe UI" w:hAnsi="Segoe UI"/>
          <w:b/>
          <w:bCs/>
          <w:i/>
          <w:iCs/>
          <w:color w:val="C9211E"/>
          <w:sz w:val="24"/>
          <w:szCs w:val="24"/>
        </w:rPr>
        <w:t xml:space="preserve"> Analisi della stabilità visiva/strumentale di alberature</w:t>
      </w:r>
    </w:p>
    <w:p>
      <w:pPr>
        <w:pStyle w:val="BodyText"/>
        <w:spacing w:before="129" w:after="0"/>
        <w:ind w:hanging="0" w:left="1592"/>
        <w:jc w:val="both"/>
        <w:rPr/>
      </w:pPr>
      <w:r>
        <w:rPr>
          <w:rFonts w:cs="Segoe UI" w:ascii="Segoe UI" w:hAnsi="Segoe UI"/>
          <w:b/>
          <w:bCs/>
        </w:rPr>
        <w:t>Verifica statica visiva e strumentale:</w:t>
      </w:r>
      <w:r>
        <w:rPr>
          <w:rFonts w:cs="Segoe UI" w:ascii="Segoe UI" w:hAnsi="Segoe UI"/>
        </w:rPr>
        <w:t xml:space="preserve"> su piante arboree mediante l’applicazione </w:t>
      </w:r>
    </w:p>
    <w:p>
      <w:pPr>
        <w:pStyle w:val="BodyText"/>
        <w:spacing w:before="129" w:after="0"/>
        <w:ind w:hanging="0" w:left="1592"/>
        <w:jc w:val="both"/>
        <w:rPr/>
      </w:pPr>
      <w:r>
        <w:rPr>
          <w:rFonts w:cs="Segoe UI" w:ascii="Segoe UI" w:hAnsi="Segoe UI"/>
        </w:rPr>
        <w:t>del metodo VTA (Visual Tree Assessment), secondo il protocollo ISA (International Socyety of Arboricolture).</w:t>
      </w:r>
    </w:p>
    <w:p>
      <w:pPr>
        <w:pStyle w:val="BodyText"/>
        <w:spacing w:before="129" w:after="0"/>
        <w:ind w:hanging="0" w:left="1592"/>
        <w:jc w:val="both"/>
        <w:rPr/>
      </w:pPr>
      <w:r>
        <w:rPr>
          <w:rFonts w:cs="Segoe UI" w:ascii="Segoe UI" w:hAnsi="Segoe UI"/>
          <w:b/>
          <w:bCs/>
        </w:rPr>
        <w:t>Periodo di esercizio:</w:t>
      </w:r>
      <w:r>
        <w:rPr>
          <w:rFonts w:cs="Segoe UI" w:ascii="Segoe UI" w:hAnsi="Segoe UI"/>
        </w:rPr>
        <w:t xml:space="preserve">  costante per ogni annualità.</w:t>
      </w:r>
    </w:p>
    <w:p>
      <w:pPr>
        <w:pStyle w:val="BodyText"/>
        <w:spacing w:before="129" w:after="0"/>
        <w:ind w:hanging="0" w:left="1592"/>
        <w:jc w:val="both"/>
        <w:rPr/>
      </w:pPr>
      <w:r>
        <w:rPr>
          <w:rFonts w:cs="Segoe UI" w:ascii="Segoe UI" w:hAnsi="Segoe UI"/>
          <w:b/>
          <w:bCs/>
        </w:rPr>
        <w:t xml:space="preserve">Modalità operative: </w:t>
      </w:r>
      <w:r>
        <w:rPr>
          <w:rFonts w:cs="Segoe UI" w:ascii="Segoe UI" w:hAnsi="Segoe UI"/>
        </w:rPr>
        <w:t>la verifica sia che si tratti di indagini ex-novo che di ricontrollo, si svolgerà attraverso le seguenti tre fasi di indagine:</w:t>
      </w:r>
    </w:p>
    <w:p>
      <w:pPr>
        <w:pStyle w:val="BodyText"/>
        <w:numPr>
          <w:ilvl w:val="0"/>
          <w:numId w:val="8"/>
        </w:numPr>
        <w:tabs>
          <w:tab w:val="clear" w:pos="720"/>
          <w:tab w:val="left" w:pos="1985" w:leader="none"/>
        </w:tabs>
        <w:spacing w:before="129" w:after="0"/>
        <w:ind w:hanging="142" w:left="1843"/>
        <w:jc w:val="both"/>
        <w:rPr/>
      </w:pPr>
      <w:r>
        <w:rPr>
          <w:rFonts w:cs="Segoe UI" w:ascii="Segoe UI" w:hAnsi="Segoe UI"/>
        </w:rPr>
        <w:t>verifica visiva dei sintomi e dei danni esterni;</w:t>
      </w:r>
    </w:p>
    <w:p>
      <w:pPr>
        <w:pStyle w:val="BodyText"/>
        <w:numPr>
          <w:ilvl w:val="0"/>
          <w:numId w:val="8"/>
        </w:numPr>
        <w:tabs>
          <w:tab w:val="clear" w:pos="720"/>
          <w:tab w:val="left" w:pos="1985" w:leader="none"/>
        </w:tabs>
        <w:spacing w:before="129" w:after="0"/>
        <w:ind w:hanging="142" w:left="1843"/>
        <w:jc w:val="both"/>
        <w:rPr/>
      </w:pPr>
      <w:r>
        <w:rPr>
          <w:rFonts w:cs="Segoe UI" w:ascii="Segoe UI" w:hAnsi="Segoe UI"/>
        </w:rPr>
        <w:t>valutazione tecnica dei sintomi e dei danni in rapporto alla stabilità dell’albero;</w:t>
      </w:r>
    </w:p>
    <w:p>
      <w:pPr>
        <w:pStyle w:val="BodyText"/>
        <w:numPr>
          <w:ilvl w:val="0"/>
          <w:numId w:val="8"/>
        </w:numPr>
        <w:tabs>
          <w:tab w:val="clear" w:pos="720"/>
          <w:tab w:val="left" w:pos="1985" w:leader="none"/>
        </w:tabs>
        <w:spacing w:before="129" w:after="0"/>
        <w:ind w:hanging="142" w:left="1843"/>
        <w:jc w:val="both"/>
        <w:rPr/>
      </w:pPr>
      <w:r>
        <w:rPr>
          <w:rFonts w:cs="Segoe UI" w:ascii="Segoe UI" w:hAnsi="Segoe UI"/>
        </w:rPr>
        <w:t>tutte le misurazioni strumentali necessarie (DENSITOMETRIA, TOMOGRAFIA, PULLING TEST) e sufficienti per verificare la stabilità dell’albero.</w:t>
      </w:r>
    </w:p>
    <w:p>
      <w:pPr>
        <w:pStyle w:val="BodyText"/>
        <w:spacing w:before="129" w:after="0"/>
        <w:ind w:hanging="0" w:left="1560"/>
        <w:jc w:val="both"/>
        <w:rPr/>
      </w:pPr>
      <w:r>
        <w:rPr>
          <w:rFonts w:cs="Segoe UI" w:ascii="Segoe UI" w:hAnsi="Segoe UI"/>
          <w:b/>
          <w:bCs/>
        </w:rPr>
        <w:t xml:space="preserve">Dimensionamento della lavorazione: </w:t>
      </w:r>
      <w:r>
        <w:rPr>
          <w:rFonts w:cs="Segoe UI" w:ascii="Segoe UI" w:hAnsi="Segoe UI"/>
        </w:rPr>
        <w:t>a misura</w:t>
      </w:r>
    </w:p>
    <w:p>
      <w:pPr>
        <w:pStyle w:val="BodyText"/>
        <w:spacing w:before="129" w:after="0"/>
        <w:ind w:hanging="0" w:left="1560"/>
        <w:jc w:val="both"/>
        <w:rPr>
          <w:rFonts w:ascii="Segoe UI" w:hAnsi="Segoe UI" w:cs="Segoe UI"/>
        </w:rPr>
      </w:pPr>
      <w:r>
        <w:rPr>
          <w:rFonts w:cs="Segoe UI" w:ascii="Segoe UI" w:hAnsi="Segoe UI"/>
        </w:rPr>
      </w:r>
    </w:p>
    <w:p>
      <w:pPr>
        <w:pStyle w:val="Articolo"/>
        <w:numPr>
          <w:ilvl w:val="0"/>
          <w:numId w:val="2"/>
        </w:numPr>
        <w:spacing w:lineRule="auto" w:line="276"/>
        <w:ind w:hanging="340" w:left="0"/>
        <w:jc w:val="center"/>
        <w:outlineLvl w:val="0"/>
        <w:rPr>
          <w:rFonts w:cs="Arial"/>
          <w:b/>
          <w:bCs/>
          <w:szCs w:val="21"/>
        </w:rPr>
      </w:pPr>
      <w:bookmarkStart w:id="7" w:name="__RefHeading___Toc5925_3683703472"/>
      <w:bookmarkStart w:id="8" w:name="_Toc148986376"/>
      <w:bookmarkEnd w:id="7"/>
      <w:r>
        <w:rPr>
          <w:rFonts w:cs="Segoe UI" w:ascii="Segoe UI" w:hAnsi="Segoe UI"/>
          <w:b/>
          <w:bCs/>
          <w:w w:val="105"/>
          <w:sz w:val="24"/>
          <w:szCs w:val="24"/>
        </w:rPr>
        <w:t>Penalità</w:t>
      </w:r>
      <w:bookmarkEnd w:id="8"/>
    </w:p>
    <w:p>
      <w:pPr>
        <w:pStyle w:val="BodyText"/>
        <w:ind w:hanging="0" w:left="0"/>
        <w:jc w:val="both"/>
        <w:rPr>
          <w:rFonts w:ascii="Segoe UI" w:hAnsi="Segoe UI" w:cs="Segoe UI"/>
        </w:rPr>
      </w:pPr>
      <w:r>
        <w:rPr>
          <w:rFonts w:cs="Segoe UI" w:ascii="Segoe UI" w:hAnsi="Segoe UI"/>
        </w:rPr>
        <w:t>Premesso che le penali non possono comunque superare, complessivamente, il 10 per cento dell’ammontare netto contrattuale, esse verranno addebitate nei casi di:</w:t>
      </w:r>
    </w:p>
    <w:p>
      <w:pPr>
        <w:pStyle w:val="BodyText"/>
        <w:numPr>
          <w:ilvl w:val="0"/>
          <w:numId w:val="6"/>
        </w:numPr>
        <w:jc w:val="both"/>
        <w:rPr>
          <w:rFonts w:ascii="Segoe UI" w:hAnsi="Segoe UI" w:cs="Segoe UI"/>
        </w:rPr>
      </w:pPr>
      <w:r>
        <w:rPr>
          <w:rFonts w:cs="Segoe UI" w:ascii="Segoe UI" w:hAnsi="Segoe UI"/>
        </w:rPr>
        <w:t xml:space="preserve">mancata o ritardata consegna dei rapporti settimanali/giornalieri di servizio; </w:t>
      </w:r>
    </w:p>
    <w:p>
      <w:pPr>
        <w:pStyle w:val="BodyText"/>
        <w:numPr>
          <w:ilvl w:val="0"/>
          <w:numId w:val="6"/>
        </w:numPr>
        <w:jc w:val="both"/>
        <w:rPr>
          <w:rFonts w:ascii="Segoe UI" w:hAnsi="Segoe UI" w:cs="Segoe UI"/>
        </w:rPr>
      </w:pPr>
      <w:r>
        <w:rPr>
          <w:rFonts w:cs="Segoe UI" w:ascii="Segoe UI" w:hAnsi="Segoe UI"/>
        </w:rPr>
        <w:t>mancata, ritardata, carente, cattiva esecuzione dei servizi, per i danni inferti al patrimonio botanico comunale (prati, alberi, arbusti, rampicanti, tappezzanti ed altre tipologie vegetali) causati durante lo svolgimento dei servizi di manutenzione, oltre ad essere addebitati all’Appaltatore tutti gli oneri relativi alla rifusione dei danni stessi, diretti ed indiretti.</w:t>
      </w:r>
    </w:p>
    <w:p>
      <w:pPr>
        <w:pStyle w:val="BodyText"/>
        <w:ind w:hanging="0" w:left="0"/>
        <w:jc w:val="both"/>
        <w:rPr>
          <w:rFonts w:ascii="Segoe UI" w:hAnsi="Segoe UI" w:cs="Segoe UI"/>
        </w:rPr>
      </w:pPr>
      <w:r>
        <w:rPr>
          <w:rFonts w:cs="Segoe UI" w:ascii="Segoe UI" w:hAnsi="Segoe UI"/>
        </w:rPr>
        <w:t>Le condizioni, i servizi e i lavori migliorativi o aggiuntivi eventualmente offerti dall’Appaltatore, essendo obbligo contrattuale a tutti gli effetti, saranno assoggettati alle medesime penali previste per i servizi appaltati. A titolo esemplificativo: il mancato utilizzo di attrezzature a batteria, se previsto dall’offerta, darà luogo all’emissione di penali.</w:t>
      </w:r>
    </w:p>
    <w:p>
      <w:pPr>
        <w:pStyle w:val="BodyText"/>
        <w:ind w:hanging="0" w:left="0"/>
        <w:jc w:val="both"/>
        <w:rPr>
          <w:rFonts w:ascii="Segoe UI" w:hAnsi="Segoe UI" w:cs="Segoe UI"/>
        </w:rPr>
      </w:pPr>
      <w:r>
        <w:rPr>
          <w:rFonts w:cs="Segoe UI" w:ascii="Segoe UI" w:hAnsi="Segoe UI"/>
        </w:rPr>
        <w:t>Si precisa che gli accertamenti relativi all’esecuzione dei servizi riguarderanno solamente le località ed i servizi rendicontati nei R.G.S., o con altre modalità previste dal presente CSA, e che la mancata rendicontazione corrisponderà a “situazione non conforme” oppure a “servizio non eseguito” e che, sulla base di questo principio, saranno applicate le rispettive penali.</w:t>
      </w:r>
    </w:p>
    <w:p>
      <w:pPr>
        <w:pStyle w:val="BodyText"/>
        <w:spacing w:before="0" w:after="120"/>
        <w:ind w:hanging="0" w:left="0"/>
        <w:jc w:val="both"/>
        <w:rPr>
          <w:rFonts w:ascii="Segoe UI" w:hAnsi="Segoe UI" w:cs="Segoe UI"/>
        </w:rPr>
      </w:pPr>
      <w:r>
        <w:rPr>
          <w:rFonts w:cs="Segoe UI" w:ascii="Segoe UI" w:hAnsi="Segoe UI"/>
        </w:rPr>
        <w:t xml:space="preserve">Si precisa inoltre che le penali sono cumulative fra loro. A puro titolo esemplificativo e non esaustivo, si riporta la seguente fattispecie: in presenza di un ordine di servizio che imponga la messa in conformità di una certa situazione entro un dato termine, qualora, trascorso questo termine, la situazione non fosse ancora conforme, saranno applicate sia la penale relativa al ritardo sull’ordine di servizio sia la penale relativa alla non conformità, ciascuna per i giorni trascorsi. </w:t>
      </w:r>
    </w:p>
    <w:p>
      <w:pPr>
        <w:pStyle w:val="BodyText"/>
        <w:spacing w:before="0" w:after="120"/>
        <w:ind w:hanging="0" w:left="0"/>
        <w:jc w:val="both"/>
        <w:rPr>
          <w:rFonts w:ascii="Segoe UI" w:hAnsi="Segoe UI" w:cs="Segoe UI"/>
        </w:rPr>
      </w:pPr>
      <w:r>
        <w:rPr>
          <w:rFonts w:cs="Segoe UI" w:ascii="Segoe UI" w:hAnsi="Segoe UI"/>
        </w:rPr>
        <w:t>Le condizioni, i servizi e i lavori migliorativi o aggiuntivi eventualmente offerti dall’Appaltatore, essendo obbligo contrattuale a tutti gli effetti, saranno assoggettati alle medesime penali previste per i servizi appaltati. A titolo esemplificativo: il mancato utilizzo di attrezzature a batteria, se previsto dall’offerta, darà luogo all’emissione di penali.</w:t>
      </w:r>
    </w:p>
    <w:p>
      <w:pPr>
        <w:pStyle w:val="BodyText"/>
        <w:spacing w:before="0" w:after="120"/>
        <w:jc w:val="both"/>
        <w:rPr>
          <w:rFonts w:ascii="Segoe UI" w:hAnsi="Segoe UI" w:cs="Segoe UI"/>
        </w:rPr>
      </w:pPr>
      <w:r>
        <w:rPr>
          <w:rFonts w:cs="Segoe UI" w:ascii="Segoe UI" w:hAnsi="Segoe UI"/>
        </w:rPr>
        <w:t>Penali ed altre detrazioni previste:</w:t>
      </w:r>
    </w:p>
    <w:p>
      <w:pPr>
        <w:pStyle w:val="ListParagraph"/>
        <w:numPr>
          <w:ilvl w:val="0"/>
          <w:numId w:val="5"/>
        </w:numPr>
        <w:spacing w:lineRule="auto" w:line="240" w:before="0" w:after="120"/>
        <w:contextualSpacing w:val="false"/>
        <w:jc w:val="both"/>
        <w:rPr>
          <w:rFonts w:ascii="Segoe UI" w:hAnsi="Segoe UI" w:cs="Segoe UI"/>
          <w:szCs w:val="21"/>
        </w:rPr>
      </w:pPr>
      <w:r>
        <w:rPr>
          <w:rFonts w:cs="Segoe UI" w:ascii="Segoe UI" w:hAnsi="Segoe UI"/>
          <w:szCs w:val="21"/>
        </w:rPr>
        <w:t xml:space="preserve">per </w:t>
      </w:r>
      <w:r>
        <w:rPr>
          <w:rFonts w:cs="Segoe UI" w:ascii="Segoe UI" w:hAnsi="Segoe UI"/>
          <w:b/>
          <w:bCs/>
          <w:szCs w:val="21"/>
        </w:rPr>
        <w:t>mancata o parziale esecuzione</w:t>
      </w:r>
      <w:r>
        <w:rPr>
          <w:rFonts w:cs="Segoe UI" w:ascii="Segoe UI" w:hAnsi="Segoe UI"/>
          <w:szCs w:val="21"/>
        </w:rPr>
        <w:t xml:space="preserve"> di una delle operazioni riferite al taglio/sfalcio erba, oltre una penale giornaliera di euro 100,00 per area non sfalciata, farà sì che l'intero intervento venga considerato come “non eseguito” e quindi non contabilizzato.</w:t>
      </w:r>
    </w:p>
    <w:p>
      <w:pPr>
        <w:pStyle w:val="ListParagraph"/>
        <w:numPr>
          <w:ilvl w:val="0"/>
          <w:numId w:val="5"/>
        </w:numPr>
        <w:spacing w:lineRule="auto" w:line="240" w:before="0" w:after="120"/>
        <w:ind w:hanging="357" w:left="714"/>
        <w:contextualSpacing w:val="false"/>
        <w:jc w:val="both"/>
        <w:rPr>
          <w:rFonts w:ascii="Segoe UI" w:hAnsi="Segoe UI" w:cs="Segoe UI"/>
          <w:szCs w:val="21"/>
        </w:rPr>
      </w:pPr>
      <w:r>
        <w:rPr>
          <w:rFonts w:cs="Segoe UI" w:ascii="Segoe UI" w:hAnsi="Segoe UI"/>
          <w:szCs w:val="21"/>
        </w:rPr>
        <w:t xml:space="preserve">per </w:t>
      </w:r>
      <w:r>
        <w:rPr>
          <w:rFonts w:cs="Segoe UI" w:ascii="Segoe UI" w:hAnsi="Segoe UI"/>
          <w:b/>
          <w:bCs/>
          <w:szCs w:val="21"/>
        </w:rPr>
        <w:t xml:space="preserve">mancato utilizzo dei DPI </w:t>
      </w:r>
      <w:r>
        <w:rPr>
          <w:rFonts w:cs="Segoe UI" w:ascii="Segoe UI" w:hAnsi="Segoe UI"/>
          <w:szCs w:val="21"/>
        </w:rPr>
        <w:t xml:space="preserve">da parte dei dipendenti (oltre ad essere eventualmente allontanati dal cantiere nel caso di non ottemperanza) sarà applicata una </w:t>
      </w:r>
      <w:r>
        <w:rPr>
          <w:rFonts w:cs="Segoe UI" w:ascii="Segoe UI" w:hAnsi="Segoe UI"/>
          <w:b/>
          <w:bCs/>
          <w:szCs w:val="21"/>
        </w:rPr>
        <w:t xml:space="preserve">penale di euro 200,00 (duecento/00) </w:t>
      </w:r>
      <w:r>
        <w:rPr>
          <w:rFonts w:cs="Segoe UI" w:ascii="Segoe UI" w:hAnsi="Segoe UI"/>
          <w:szCs w:val="21"/>
        </w:rPr>
        <w:t>per ogni accertamento,</w:t>
      </w:r>
    </w:p>
    <w:p>
      <w:pPr>
        <w:pStyle w:val="ListParagraph"/>
        <w:numPr>
          <w:ilvl w:val="0"/>
          <w:numId w:val="5"/>
        </w:numPr>
        <w:spacing w:lineRule="auto" w:line="240" w:before="0" w:after="120"/>
        <w:ind w:hanging="357" w:left="714"/>
        <w:contextualSpacing w:val="false"/>
        <w:jc w:val="both"/>
        <w:rPr>
          <w:rFonts w:ascii="Segoe UI" w:hAnsi="Segoe UI" w:cs="Segoe UI"/>
          <w:szCs w:val="21"/>
        </w:rPr>
      </w:pPr>
      <w:r>
        <w:rPr>
          <w:rFonts w:cs="Segoe UI" w:ascii="Segoe UI" w:hAnsi="Segoe UI"/>
          <w:szCs w:val="21"/>
        </w:rPr>
        <w:t xml:space="preserve">per </w:t>
      </w:r>
      <w:r>
        <w:rPr>
          <w:rFonts w:cs="Segoe UI" w:ascii="Segoe UI" w:hAnsi="Segoe UI"/>
          <w:b/>
          <w:bCs/>
          <w:szCs w:val="21"/>
        </w:rPr>
        <w:t xml:space="preserve">impiego di materiale non conforme </w:t>
      </w:r>
      <w:r>
        <w:rPr>
          <w:rFonts w:cs="Segoe UI" w:ascii="Segoe UI" w:hAnsi="Segoe UI"/>
          <w:szCs w:val="21"/>
        </w:rPr>
        <w:t xml:space="preserve">al capitolato e alle norme vigenti in materia di standard qualitativi e prestazionali sarà applicata una </w:t>
      </w:r>
      <w:r>
        <w:rPr>
          <w:rFonts w:cs="Segoe UI" w:ascii="Segoe UI" w:hAnsi="Segoe UI"/>
          <w:b/>
          <w:bCs/>
          <w:szCs w:val="21"/>
        </w:rPr>
        <w:t xml:space="preserve">penale di Euro 100,00 (cento/00) </w:t>
      </w:r>
      <w:r>
        <w:rPr>
          <w:rFonts w:cs="Segoe UI" w:ascii="Segoe UI" w:hAnsi="Segoe UI"/>
          <w:szCs w:val="21"/>
        </w:rPr>
        <w:t>per ogni inadempimento,</w:t>
      </w:r>
    </w:p>
    <w:p>
      <w:pPr>
        <w:pStyle w:val="ListParagraph"/>
        <w:numPr>
          <w:ilvl w:val="0"/>
          <w:numId w:val="5"/>
        </w:numPr>
        <w:spacing w:lineRule="auto" w:line="240" w:before="0" w:after="120"/>
        <w:ind w:hanging="357" w:left="714"/>
        <w:contextualSpacing w:val="false"/>
        <w:jc w:val="both"/>
        <w:rPr>
          <w:rFonts w:ascii="Segoe UI" w:hAnsi="Segoe UI" w:cs="Segoe UI"/>
          <w:szCs w:val="21"/>
        </w:rPr>
      </w:pPr>
      <w:r>
        <w:rPr>
          <w:rFonts w:cs="Segoe UI" w:ascii="Segoe UI" w:hAnsi="Segoe UI"/>
          <w:szCs w:val="21"/>
        </w:rPr>
        <w:t xml:space="preserve">per ogni giorno di </w:t>
      </w:r>
      <w:r>
        <w:rPr>
          <w:rFonts w:cs="Segoe UI" w:ascii="Segoe UI" w:hAnsi="Segoe UI"/>
          <w:b/>
          <w:bCs/>
          <w:szCs w:val="21"/>
        </w:rPr>
        <w:t xml:space="preserve">ritardo sulle date </w:t>
      </w:r>
      <w:r>
        <w:rPr>
          <w:rFonts w:cs="Segoe UI" w:ascii="Segoe UI" w:hAnsi="Segoe UI"/>
          <w:szCs w:val="21"/>
        </w:rPr>
        <w:t xml:space="preserve">stabilite da ogni </w:t>
      </w:r>
      <w:r>
        <w:rPr>
          <w:rFonts w:cs="Segoe UI" w:ascii="Segoe UI" w:hAnsi="Segoe UI"/>
          <w:b/>
          <w:bCs/>
          <w:szCs w:val="21"/>
        </w:rPr>
        <w:t xml:space="preserve">Cronoprogramma </w:t>
      </w:r>
      <w:r>
        <w:rPr>
          <w:rFonts w:cs="Segoe UI" w:ascii="Segoe UI" w:hAnsi="Segoe UI"/>
          <w:szCs w:val="21"/>
        </w:rPr>
        <w:t xml:space="preserve">e/o stabilite da ogni singolo </w:t>
      </w:r>
      <w:r>
        <w:rPr>
          <w:rFonts w:cs="Segoe UI" w:ascii="Segoe UI" w:hAnsi="Segoe UI"/>
          <w:b/>
          <w:bCs/>
          <w:szCs w:val="21"/>
        </w:rPr>
        <w:t xml:space="preserve">Ordine di Servizio </w:t>
      </w:r>
      <w:r>
        <w:rPr>
          <w:rFonts w:cs="Segoe UI" w:ascii="Segoe UI" w:hAnsi="Segoe UI"/>
          <w:szCs w:val="21"/>
        </w:rPr>
        <w:t xml:space="preserve">sarà applicata una </w:t>
      </w:r>
      <w:r>
        <w:rPr>
          <w:rFonts w:cs="Segoe UI" w:ascii="Segoe UI" w:hAnsi="Segoe UI"/>
          <w:b/>
          <w:bCs/>
          <w:szCs w:val="21"/>
        </w:rPr>
        <w:t xml:space="preserve">penale di Euro 100,00 (cento/00) sia sull’inizio sia sulla fine </w:t>
      </w:r>
      <w:r>
        <w:rPr>
          <w:rFonts w:cs="Segoe UI" w:ascii="Segoe UI" w:hAnsi="Segoe UI"/>
          <w:szCs w:val="21"/>
        </w:rPr>
        <w:t>dei servizi stessi e per ogni singolo servizio;</w:t>
      </w:r>
    </w:p>
    <w:p>
      <w:pPr>
        <w:pStyle w:val="ListParagraph"/>
        <w:numPr>
          <w:ilvl w:val="0"/>
          <w:numId w:val="5"/>
        </w:numPr>
        <w:spacing w:lineRule="auto" w:line="276" w:before="0" w:after="120"/>
        <w:ind w:hanging="357" w:left="714"/>
        <w:contextualSpacing w:val="false"/>
        <w:jc w:val="both"/>
        <w:rPr>
          <w:rFonts w:ascii="Segoe UI" w:hAnsi="Segoe UI" w:cs="Segoe UI"/>
          <w:szCs w:val="21"/>
        </w:rPr>
      </w:pPr>
      <w:r>
        <w:rPr>
          <w:rFonts w:cs="Segoe UI" w:ascii="Segoe UI" w:hAnsi="Segoe UI"/>
          <w:szCs w:val="21"/>
        </w:rPr>
        <w:t xml:space="preserve">per i servizi per i quali il </w:t>
      </w:r>
      <w:r>
        <w:rPr>
          <w:rFonts w:cs="Segoe UI" w:ascii="Segoe UI" w:hAnsi="Segoe UI"/>
          <w:b/>
          <w:bCs/>
          <w:szCs w:val="21"/>
        </w:rPr>
        <w:t xml:space="preserve">Cronoprogramma </w:t>
      </w:r>
      <w:r>
        <w:rPr>
          <w:rFonts w:cs="Segoe UI" w:ascii="Segoe UI" w:hAnsi="Segoe UI"/>
          <w:szCs w:val="21"/>
        </w:rPr>
        <w:t xml:space="preserve">prevede date di inizio e di fine dei singoli interventi, le penali previste per i ritardi sono </w:t>
      </w:r>
      <w:r>
        <w:rPr>
          <w:rFonts w:cs="Segoe UI" w:ascii="Segoe UI" w:hAnsi="Segoe UI"/>
          <w:b/>
          <w:bCs/>
          <w:szCs w:val="21"/>
        </w:rPr>
        <w:t xml:space="preserve">cumulabili </w:t>
      </w:r>
      <w:r>
        <w:rPr>
          <w:rFonts w:cs="Segoe UI" w:ascii="Segoe UI" w:hAnsi="Segoe UI"/>
          <w:szCs w:val="21"/>
        </w:rPr>
        <w:t>con le altre penali previste nei punti che seguono;</w:t>
      </w:r>
    </w:p>
    <w:p>
      <w:pPr>
        <w:pStyle w:val="ListParagraph"/>
        <w:numPr>
          <w:ilvl w:val="0"/>
          <w:numId w:val="5"/>
        </w:numPr>
        <w:spacing w:lineRule="auto" w:line="276" w:before="0" w:after="120"/>
        <w:ind w:hanging="357" w:left="714"/>
        <w:contextualSpacing w:val="false"/>
        <w:jc w:val="both"/>
        <w:rPr>
          <w:rFonts w:ascii="Segoe UI" w:hAnsi="Segoe UI" w:cs="Segoe UI"/>
          <w:szCs w:val="21"/>
        </w:rPr>
      </w:pPr>
      <w:r>
        <w:rPr>
          <w:rFonts w:cs="Segoe UI" w:ascii="Segoe UI" w:hAnsi="Segoe UI"/>
          <w:szCs w:val="21"/>
        </w:rPr>
        <w:t xml:space="preserve">per la </w:t>
      </w:r>
      <w:r>
        <w:rPr>
          <w:rFonts w:cs="Segoe UI" w:ascii="Segoe UI" w:hAnsi="Segoe UI"/>
          <w:b/>
          <w:bCs/>
          <w:szCs w:val="21"/>
        </w:rPr>
        <w:t>ritardata consegna dei Rapporti Giornalieri di Servizio</w:t>
      </w:r>
      <w:r>
        <w:rPr>
          <w:rFonts w:cs="Segoe UI" w:ascii="Segoe UI" w:hAnsi="Segoe UI"/>
          <w:szCs w:val="21"/>
        </w:rPr>
        <w:t xml:space="preserve">, o per </w:t>
      </w:r>
      <w:r>
        <w:rPr>
          <w:rFonts w:cs="Segoe UI" w:ascii="Segoe UI" w:hAnsi="Segoe UI"/>
          <w:b/>
          <w:bCs/>
          <w:szCs w:val="21"/>
        </w:rPr>
        <w:t xml:space="preserve">mancata rendicontazione, </w:t>
      </w:r>
      <w:r>
        <w:rPr>
          <w:rFonts w:cs="Segoe UI" w:ascii="Segoe UI" w:hAnsi="Segoe UI"/>
          <w:szCs w:val="21"/>
        </w:rPr>
        <w:t xml:space="preserve">o per </w:t>
      </w:r>
      <w:r>
        <w:rPr>
          <w:rFonts w:cs="Segoe UI" w:ascii="Segoe UI" w:hAnsi="Segoe UI"/>
          <w:b/>
          <w:bCs/>
          <w:szCs w:val="21"/>
        </w:rPr>
        <w:t xml:space="preserve">ritardato aggiornamento del sistema informatizzato </w:t>
      </w:r>
      <w:r>
        <w:rPr>
          <w:rFonts w:cs="Segoe UI" w:ascii="Segoe UI" w:hAnsi="Segoe UI"/>
          <w:szCs w:val="21"/>
        </w:rPr>
        <w:t xml:space="preserve">sarà applicata una </w:t>
      </w:r>
      <w:r>
        <w:rPr>
          <w:rFonts w:cs="Segoe UI" w:ascii="Segoe UI" w:hAnsi="Segoe UI"/>
          <w:b/>
          <w:bCs/>
          <w:szCs w:val="21"/>
        </w:rPr>
        <w:t xml:space="preserve">penale di Euro 25,00 (venticinque/00) </w:t>
      </w:r>
      <w:r>
        <w:rPr>
          <w:rFonts w:cs="Segoe UI" w:ascii="Segoe UI" w:hAnsi="Segoe UI"/>
          <w:szCs w:val="21"/>
        </w:rPr>
        <w:t xml:space="preserve">per ogni giorno di ritardo e per ogni Rapporto Giornaliero di Servizio o rendicontazione; </w:t>
      </w:r>
    </w:p>
    <w:p>
      <w:pPr>
        <w:pStyle w:val="ListParagraph"/>
        <w:numPr>
          <w:ilvl w:val="0"/>
          <w:numId w:val="5"/>
        </w:numPr>
        <w:spacing w:lineRule="auto" w:line="276" w:before="0" w:after="120"/>
        <w:ind w:hanging="357" w:left="714"/>
        <w:contextualSpacing w:val="false"/>
        <w:jc w:val="both"/>
        <w:rPr>
          <w:rFonts w:ascii="Segoe UI" w:hAnsi="Segoe UI" w:cs="Segoe UI"/>
          <w:szCs w:val="21"/>
        </w:rPr>
      </w:pPr>
      <w:r>
        <w:rPr>
          <w:rFonts w:cs="Segoe UI" w:ascii="Segoe UI" w:hAnsi="Segoe UI"/>
          <w:szCs w:val="21"/>
        </w:rPr>
        <w:t xml:space="preserve">relativamente alla </w:t>
      </w:r>
      <w:r>
        <w:rPr>
          <w:rFonts w:cs="Segoe UI" w:ascii="Segoe UI" w:hAnsi="Segoe UI"/>
          <w:b/>
          <w:bCs/>
          <w:szCs w:val="21"/>
        </w:rPr>
        <w:t xml:space="preserve">disponibilità di manodopera </w:t>
      </w:r>
      <w:r>
        <w:rPr>
          <w:rFonts w:cs="Segoe UI" w:ascii="Segoe UI" w:hAnsi="Segoe UI"/>
          <w:szCs w:val="21"/>
        </w:rPr>
        <w:t xml:space="preserve">prevista dal C.S. A. o richiesta dalla DEC  con Ordine di Servizio o dichiarata dall’Appaltatore in sede di offerta, sarà applicata una </w:t>
      </w:r>
      <w:r>
        <w:rPr>
          <w:rFonts w:cs="Segoe UI" w:ascii="Segoe UI" w:hAnsi="Segoe UI"/>
          <w:b/>
          <w:bCs/>
          <w:szCs w:val="21"/>
        </w:rPr>
        <w:t xml:space="preserve">penale di Euro 100,00 (cento/00) </w:t>
      </w:r>
      <w:r>
        <w:rPr>
          <w:rFonts w:cs="Segoe UI" w:ascii="Segoe UI" w:hAnsi="Segoe UI"/>
          <w:szCs w:val="21"/>
        </w:rPr>
        <w:t xml:space="preserve">per ogni operatore in meno e per il giorno dell’accertamento; il servizio sarà immediatamente sospeso e, per ogni giorno di ritardo, oltre al giorno della sospensione, nella ripresa del servizio stesso, sarà applicata una ulteriore </w:t>
      </w:r>
      <w:r>
        <w:rPr>
          <w:rFonts w:cs="Segoe UI" w:ascii="Segoe UI" w:hAnsi="Segoe UI"/>
          <w:b/>
          <w:bCs/>
          <w:szCs w:val="21"/>
        </w:rPr>
        <w:t>penale di Euro 50,00 (cinquanta/00)</w:t>
      </w:r>
      <w:r>
        <w:rPr>
          <w:rFonts w:cs="Segoe UI" w:ascii="Segoe UI" w:hAnsi="Segoe UI"/>
          <w:szCs w:val="21"/>
        </w:rPr>
        <w:t>;</w:t>
      </w:r>
    </w:p>
    <w:p>
      <w:pPr>
        <w:pStyle w:val="ListParagraph"/>
        <w:numPr>
          <w:ilvl w:val="0"/>
          <w:numId w:val="5"/>
        </w:numPr>
        <w:spacing w:lineRule="auto" w:line="276" w:before="0" w:after="120"/>
        <w:ind w:hanging="357" w:left="714"/>
        <w:contextualSpacing w:val="false"/>
        <w:jc w:val="both"/>
        <w:rPr>
          <w:rFonts w:ascii="Segoe UI" w:hAnsi="Segoe UI" w:cs="Segoe UI"/>
          <w:b/>
          <w:bCs/>
          <w:szCs w:val="21"/>
        </w:rPr>
      </w:pPr>
      <w:r>
        <w:rPr>
          <w:rFonts w:cs="Segoe UI" w:ascii="Segoe UI" w:hAnsi="Segoe UI"/>
          <w:szCs w:val="21"/>
        </w:rPr>
        <w:t xml:space="preserve">per la </w:t>
      </w:r>
      <w:r>
        <w:rPr>
          <w:rFonts w:cs="Segoe UI" w:ascii="Segoe UI" w:hAnsi="Segoe UI"/>
          <w:b/>
          <w:bCs/>
          <w:szCs w:val="21"/>
        </w:rPr>
        <w:t>mancata raccolta di rifiuti o di risulte</w:t>
      </w:r>
      <w:r>
        <w:rPr>
          <w:rFonts w:cs="Segoe UI" w:ascii="Segoe UI" w:hAnsi="Segoe UI"/>
          <w:szCs w:val="21"/>
        </w:rPr>
        <w:t xml:space="preserve">, come prevista dai singoli servizi, sarà applicata una </w:t>
      </w:r>
      <w:r>
        <w:rPr>
          <w:rFonts w:cs="Segoe UI" w:ascii="Segoe UI" w:hAnsi="Segoe UI"/>
          <w:b/>
          <w:bCs/>
          <w:szCs w:val="21"/>
        </w:rPr>
        <w:t xml:space="preserve">penale di Euro 100,00 (cento/00) </w:t>
      </w:r>
      <w:r>
        <w:rPr>
          <w:rFonts w:cs="Segoe UI" w:ascii="Segoe UI" w:hAnsi="Segoe UI"/>
          <w:szCs w:val="21"/>
        </w:rPr>
        <w:t xml:space="preserve">per ogni accertamento di non conformità, per ogni tipologia d’intervento, per ogni area accertata e per ogni giornata in cui perduri la non conformità; </w:t>
      </w:r>
    </w:p>
    <w:p>
      <w:pPr>
        <w:pStyle w:val="ListParagraph"/>
        <w:numPr>
          <w:ilvl w:val="0"/>
          <w:numId w:val="5"/>
        </w:numPr>
        <w:spacing w:lineRule="auto" w:line="276" w:before="0" w:after="120"/>
        <w:ind w:hanging="357" w:left="714"/>
        <w:contextualSpacing w:val="false"/>
        <w:jc w:val="both"/>
        <w:rPr>
          <w:rFonts w:ascii="Segoe UI" w:hAnsi="Segoe UI" w:cs="Segoe UI"/>
          <w:szCs w:val="21"/>
        </w:rPr>
      </w:pPr>
      <w:r>
        <w:rPr>
          <w:rFonts w:cs="Segoe UI" w:ascii="Segoe UI" w:hAnsi="Segoe UI"/>
          <w:szCs w:val="21"/>
        </w:rPr>
        <w:t xml:space="preserve">nel caso di accertamento di </w:t>
      </w:r>
      <w:r>
        <w:rPr>
          <w:rFonts w:cs="Segoe UI" w:ascii="Segoe UI" w:hAnsi="Segoe UI"/>
          <w:b/>
          <w:bCs/>
          <w:szCs w:val="21"/>
        </w:rPr>
        <w:t xml:space="preserve">non conformità generiche </w:t>
      </w:r>
      <w:r>
        <w:rPr>
          <w:rFonts w:cs="Segoe UI" w:ascii="Segoe UI" w:hAnsi="Segoe UI"/>
          <w:szCs w:val="21"/>
        </w:rPr>
        <w:t xml:space="preserve">si applica una </w:t>
      </w:r>
      <w:r>
        <w:rPr>
          <w:rFonts w:cs="Segoe UI" w:ascii="Segoe UI" w:hAnsi="Segoe UI"/>
          <w:b/>
          <w:bCs/>
          <w:szCs w:val="21"/>
        </w:rPr>
        <w:t xml:space="preserve">penale di Euro 60,00 (sessanta/00) </w:t>
      </w:r>
      <w:r>
        <w:rPr>
          <w:rFonts w:cs="Segoe UI" w:ascii="Segoe UI" w:hAnsi="Segoe UI"/>
          <w:szCs w:val="21"/>
        </w:rPr>
        <w:t xml:space="preserve">per ogni accertamento, per ogni tipologia d’intervento e per ogni località accertata. A titolo puramente esemplificativo e non esaustivo si citano il mancato taglio di polloni durante il taglio erba, il mancato taglio di rami interferenti durante il taglio dell’erba, la mancata eliminazione di infestanti nell’area sulla quale è stato eseguito il taglio dell’erba anche all’interno di siepi ed arbusti ecc. </w:t>
      </w:r>
    </w:p>
    <w:p>
      <w:pPr>
        <w:pStyle w:val="ListParagraph"/>
        <w:numPr>
          <w:ilvl w:val="0"/>
          <w:numId w:val="5"/>
        </w:numPr>
        <w:spacing w:lineRule="auto" w:line="276" w:before="0" w:after="120"/>
        <w:ind w:hanging="357" w:left="714"/>
        <w:contextualSpacing w:val="false"/>
        <w:jc w:val="both"/>
        <w:rPr>
          <w:rFonts w:ascii="Segoe UI" w:hAnsi="Segoe UI" w:cs="Segoe UI"/>
          <w:b/>
          <w:bCs/>
          <w:szCs w:val="21"/>
        </w:rPr>
      </w:pPr>
      <w:r>
        <w:rPr>
          <w:rFonts w:cs="Segoe UI" w:ascii="Segoe UI" w:hAnsi="Segoe UI"/>
          <w:szCs w:val="21"/>
        </w:rPr>
        <w:t xml:space="preserve">per tutti i servizi previsti </w:t>
      </w:r>
      <w:r>
        <w:rPr>
          <w:rFonts w:cs="Segoe UI" w:ascii="Segoe UI" w:hAnsi="Segoe UI"/>
          <w:b/>
          <w:bCs/>
          <w:szCs w:val="21"/>
        </w:rPr>
        <w:t>l’intervento parziale sarà considerato come intervento non eseguito nel suo complesso e, pertanto, oltre all’applicazione delle penali, non sarà contabilizzato e non si procederà alla sua liquidazione;</w:t>
      </w:r>
    </w:p>
    <w:p>
      <w:pPr>
        <w:pStyle w:val="ListParagraph"/>
        <w:numPr>
          <w:ilvl w:val="0"/>
          <w:numId w:val="5"/>
        </w:numPr>
        <w:spacing w:lineRule="auto" w:line="276" w:before="0" w:after="120"/>
        <w:ind w:hanging="357" w:left="714"/>
        <w:contextualSpacing w:val="false"/>
        <w:jc w:val="both"/>
        <w:rPr>
          <w:rFonts w:ascii="Segoe UI" w:hAnsi="Segoe UI" w:cs="Segoe UI"/>
          <w:b/>
          <w:bCs/>
          <w:szCs w:val="21"/>
        </w:rPr>
      </w:pPr>
      <w:r>
        <w:rPr>
          <w:rFonts w:cs="Segoe UI" w:ascii="Segoe UI" w:hAnsi="Segoe UI"/>
          <w:szCs w:val="21"/>
        </w:rPr>
        <w:t xml:space="preserve">per quanto riguarda i servizi per i quali è prevista la </w:t>
      </w:r>
      <w:r>
        <w:rPr>
          <w:rFonts w:cs="Segoe UI" w:ascii="Segoe UI" w:hAnsi="Segoe UI"/>
          <w:b/>
          <w:bCs/>
          <w:szCs w:val="21"/>
        </w:rPr>
        <w:t>manutenzione continuativa</w:t>
      </w:r>
      <w:r>
        <w:rPr>
          <w:rFonts w:cs="Segoe UI" w:ascii="Segoe UI" w:hAnsi="Segoe UI"/>
          <w:szCs w:val="21"/>
        </w:rPr>
        <w:t xml:space="preserve">, per ogni accertamento di situazione non conforme sarà applicata una </w:t>
      </w:r>
      <w:r>
        <w:rPr>
          <w:rFonts w:cs="Segoe UI" w:ascii="Segoe UI" w:hAnsi="Segoe UI"/>
          <w:b/>
          <w:bCs/>
          <w:szCs w:val="21"/>
        </w:rPr>
        <w:t>penale di Euro 35,00 (trentacinque/00)</w:t>
      </w:r>
      <w:r>
        <w:rPr>
          <w:rFonts w:cs="Segoe UI" w:ascii="Segoe UI" w:hAnsi="Segoe UI"/>
          <w:szCs w:val="21"/>
        </w:rPr>
        <w:t>,</w:t>
      </w:r>
    </w:p>
    <w:p>
      <w:pPr>
        <w:pStyle w:val="ListParagraph"/>
        <w:numPr>
          <w:ilvl w:val="0"/>
          <w:numId w:val="5"/>
        </w:numPr>
        <w:spacing w:lineRule="auto" w:line="276" w:before="0" w:after="120"/>
        <w:ind w:hanging="357" w:left="714"/>
        <w:contextualSpacing w:val="false"/>
        <w:jc w:val="both"/>
        <w:rPr>
          <w:rFonts w:ascii="Segoe UI" w:hAnsi="Segoe UI" w:cs="Segoe UI"/>
          <w:szCs w:val="21"/>
        </w:rPr>
      </w:pPr>
      <w:r>
        <w:rPr>
          <w:rFonts w:cs="Segoe UI" w:ascii="Segoe UI" w:hAnsi="Segoe UI"/>
          <w:szCs w:val="21"/>
        </w:rPr>
        <w:t xml:space="preserve">per quanto riguarda il servizio di </w:t>
      </w:r>
      <w:r>
        <w:rPr>
          <w:rFonts w:cs="Segoe UI" w:ascii="Segoe UI" w:hAnsi="Segoe UI"/>
          <w:b/>
          <w:bCs/>
          <w:szCs w:val="21"/>
        </w:rPr>
        <w:t>irrigazione di soccorso alberi</w:t>
      </w:r>
      <w:r>
        <w:rPr>
          <w:rFonts w:cs="Segoe UI" w:ascii="Segoe UI" w:hAnsi="Segoe UI"/>
          <w:szCs w:val="21"/>
        </w:rPr>
        <w:t xml:space="preserve"> o </w:t>
      </w:r>
      <w:r>
        <w:rPr>
          <w:rFonts w:cs="Segoe UI" w:ascii="Segoe UI" w:hAnsi="Segoe UI"/>
          <w:b/>
          <w:bCs/>
          <w:szCs w:val="21"/>
        </w:rPr>
        <w:t>manutenzione e gestione continuativa degli impianti irrigui</w:t>
      </w:r>
      <w:r>
        <w:rPr>
          <w:rFonts w:cs="Segoe UI" w:ascii="Segoe UI" w:hAnsi="Segoe UI"/>
          <w:szCs w:val="21"/>
        </w:rPr>
        <w:t xml:space="preserve">, in caso di mancato funzionamento dell’impianto di irrigazione o di funzionamento non corretto dello stesso, oltre a rifondere i danni eventualmente subiti dal prato e dalle piante presenti, l’Appaltatore sarà assoggettato ad una </w:t>
      </w:r>
      <w:r>
        <w:rPr>
          <w:rFonts w:cs="Segoe UI" w:ascii="Segoe UI" w:hAnsi="Segoe UI"/>
          <w:b/>
          <w:bCs/>
          <w:szCs w:val="21"/>
        </w:rPr>
        <w:t xml:space="preserve">penale di Euro 250,00 (duecentocinquanta/00) </w:t>
      </w:r>
      <w:r>
        <w:rPr>
          <w:rFonts w:cs="Segoe UI" w:ascii="Segoe UI" w:hAnsi="Segoe UI"/>
          <w:szCs w:val="21"/>
        </w:rPr>
        <w:t>per ogni accertamento di non conformità, per ogni località accertata e per ogni giorno in cui perdura la non conformità, compreso il giorno dell’accertamento</w:t>
      </w:r>
    </w:p>
    <w:p>
      <w:pPr>
        <w:pStyle w:val="ListParagraph"/>
        <w:numPr>
          <w:ilvl w:val="0"/>
          <w:numId w:val="5"/>
        </w:numPr>
        <w:spacing w:lineRule="auto" w:line="276" w:before="0" w:after="120"/>
        <w:ind w:hanging="357" w:left="714"/>
        <w:contextualSpacing w:val="false"/>
        <w:jc w:val="both"/>
        <w:rPr>
          <w:rFonts w:ascii="Segoe UI" w:hAnsi="Segoe UI" w:cs="Segoe UI"/>
          <w:szCs w:val="21"/>
        </w:rPr>
      </w:pPr>
      <w:r>
        <w:rPr>
          <w:rFonts w:cs="Segoe UI" w:ascii="Segoe UI" w:hAnsi="Segoe UI"/>
          <w:szCs w:val="21"/>
        </w:rPr>
        <w:t xml:space="preserve">Per </w:t>
      </w:r>
      <w:r>
        <w:rPr>
          <w:rFonts w:cs="Segoe UI" w:ascii="Segoe UI" w:hAnsi="Segoe UI"/>
          <w:b/>
          <w:bCs/>
          <w:szCs w:val="21"/>
        </w:rPr>
        <w:t xml:space="preserve">danni provocati ad alberi </w:t>
      </w:r>
      <w:r>
        <w:rPr>
          <w:rFonts w:cs="Segoe UI" w:ascii="Segoe UI" w:hAnsi="Segoe UI"/>
          <w:szCs w:val="21"/>
        </w:rPr>
        <w:t xml:space="preserve">durante l’esecuzione delle lavorazioni così come descritte nel CSA, oltre a rifondere il valore del danno stesso alcolato secondo il metodo svizzero, si applica una </w:t>
      </w:r>
      <w:r>
        <w:rPr>
          <w:rFonts w:cs="Segoe UI" w:ascii="Segoe UI" w:hAnsi="Segoe UI"/>
          <w:b/>
          <w:bCs/>
          <w:szCs w:val="21"/>
        </w:rPr>
        <w:t xml:space="preserve">penale di Euro 60,00 (sessanta/00) </w:t>
      </w:r>
      <w:r>
        <w:rPr>
          <w:rFonts w:cs="Segoe UI" w:ascii="Segoe UI" w:hAnsi="Segoe UI"/>
          <w:szCs w:val="21"/>
        </w:rPr>
        <w:t xml:space="preserve">per ogni albero danneggiato. Per quanto riguarda il danno vale quanto  applicando il metodo parametrico in vigore presso il Comune di Milano. Se il danno non è reversibile o comporta una tara permanente o interessa almeno il 25% del fusto sarà considerato come “danno totale” applicando il metodo di stima già citato. In caso di “danno totale”, oltre alla penale e al valore calcolato, che compensa la perdita di valore ornamentale e ambientale del soggetto, l’Appaltatore, a propria cura e spese, qualora il DEC. lo ritenga necessario a proprio insindacabile giudizio, è tenuto a rimuovere l’albero danneggiato, a fornire e porre a dimora un nuovo soggetto arboreo di standard 18/20 (circonferenza in cm misurata a 1 m da terra se allevato ad alberello) o standard 350/400 (altezza in cm se vestito) secondo le pre scrizioni del presente CSA. L’Appaltatore è altresì obbligato a mantenere il soggetto sostituito in garanzia totale per almeno 3 anni dall’impianto. Qualora il contratto si concluda prima della scadenza, l’Appaltatore dovrà presentare apposita fidejussione per l’intero valore di fornitura, posa e garanzia. </w:t>
      </w:r>
    </w:p>
    <w:p>
      <w:pPr>
        <w:pStyle w:val="ListParagraph"/>
        <w:numPr>
          <w:ilvl w:val="0"/>
          <w:numId w:val="5"/>
        </w:numPr>
        <w:spacing w:lineRule="auto" w:line="276" w:before="0" w:after="120"/>
        <w:ind w:hanging="357" w:left="714"/>
        <w:contextualSpacing w:val="false"/>
        <w:jc w:val="both"/>
        <w:rPr>
          <w:rFonts w:ascii="Segoe UI" w:hAnsi="Segoe UI" w:cs="Segoe UI"/>
          <w:szCs w:val="21"/>
        </w:rPr>
      </w:pPr>
      <w:r>
        <w:rPr>
          <w:rFonts w:cs="Segoe UI" w:ascii="Segoe UI" w:hAnsi="Segoe UI"/>
          <w:szCs w:val="21"/>
        </w:rPr>
        <w:t xml:space="preserve"> </w:t>
      </w:r>
      <w:r>
        <w:rPr>
          <w:rFonts w:cs="Segoe UI" w:ascii="Segoe UI" w:hAnsi="Segoe UI"/>
          <w:szCs w:val="21"/>
        </w:rPr>
        <w:t xml:space="preserve">Per </w:t>
      </w:r>
      <w:r>
        <w:rPr>
          <w:rFonts w:cs="Segoe UI" w:ascii="Segoe UI" w:hAnsi="Segoe UI"/>
          <w:b/>
          <w:bCs/>
          <w:szCs w:val="21"/>
        </w:rPr>
        <w:t xml:space="preserve">danni provocati agli arbusti </w:t>
      </w:r>
      <w:r>
        <w:rPr>
          <w:rFonts w:cs="Segoe UI" w:ascii="Segoe UI" w:hAnsi="Segoe UI"/>
          <w:szCs w:val="21"/>
        </w:rPr>
        <w:t xml:space="preserve">durante l’esecuzione delle lavorazioni così come descritte nel CSA, oltre a rifondere il valore del danno stesso, si applica una </w:t>
      </w:r>
      <w:r>
        <w:rPr>
          <w:rFonts w:cs="Segoe UI" w:ascii="Segoe UI" w:hAnsi="Segoe UI"/>
          <w:b/>
          <w:bCs/>
          <w:szCs w:val="21"/>
        </w:rPr>
        <w:t xml:space="preserve">penale di Euro 15,00 (quindici/00) </w:t>
      </w:r>
      <w:r>
        <w:rPr>
          <w:rFonts w:cs="Segoe UI" w:ascii="Segoe UI" w:hAnsi="Segoe UI"/>
          <w:szCs w:val="21"/>
        </w:rPr>
        <w:t>per ogni arbusto danneggiato. Nella fattispecie “arbusto” rientrano anche gli arbusti che compongono siepi, macchie di tappezzanti ecc. Se il danno non è reversibile o comporta una tara permanente o interessa oltre il 25% del fusto sarà considerato come “danno totale” applicando il metodo di stima già citato o in base al “valore di mercato” quando l’assortimento, di qualità ottimale, è reperibile sul mercato .In caso di “danno totale”, oltre alla penale e al valore calcolato, che compensa la perdita di valore ornamentale e ambientale del soggetto, l’appaltatore, qualora il DEC. lo ritenga necessario a proprio insindacabile giudizio, è tenuto a rimuovere l’arbusto danneggiato, a fornire e porre a dimora un nuovo soggetto di standard 80/100 (altezza in cm se prevale lo sviluppo in altezza) o 50/60 (diametro della chioma in cm se prevale lo sviluppo orizzontale) secondo le prescrizioni del presente CSA. L’Appaltatore è altresì obbligato a mantenere il soggetto sostituito in garanzia totale per almeno 1 anno dall’impianto. Qualora il contratto si concluda prima dell’anno previsto, l’Appaltatore dovrà presentare apposita fidejussione per l’intero valore di fornitura, posa e garanzia. Le penali saranno trasmesse tramite ordine di servizio. L’importo relativo alle penali emesse e ai danni eventualmente provocati al patrimonio, sarà dedotto dall’importo netto delle lavorazioni, in corrispondenza del primo stato di avanzamento successivo alla contestazione. È fatta salva comunque la facoltà per la Stazione appaltante di avvalersi dell’incameramento anche parziale della fidejussione; in tale ultimo caso, sarà onere dell’appaltatore ricostituire l’importo complessivo oggetto della cauzione. L’applicazione delle penali non estingue, in ogni caso, l’eventuale maggiore danno subito.</w:t>
      </w:r>
    </w:p>
    <w:p>
      <w:pPr>
        <w:pStyle w:val="ListParagraph"/>
        <w:numPr>
          <w:ilvl w:val="0"/>
          <w:numId w:val="5"/>
        </w:numPr>
        <w:spacing w:lineRule="auto" w:line="276" w:before="0" w:after="120"/>
        <w:ind w:hanging="357" w:left="714"/>
        <w:contextualSpacing w:val="false"/>
        <w:jc w:val="both"/>
        <w:rPr>
          <w:rFonts w:ascii="Segoe UI" w:hAnsi="Segoe UI" w:cs="Segoe UI"/>
          <w:szCs w:val="21"/>
        </w:rPr>
      </w:pPr>
      <w:r>
        <w:rPr>
          <w:rFonts w:eastAsia="Gulim" w:cs="Segoe UI" w:ascii="Segoe UI" w:hAnsi="Segoe UI"/>
          <w:color w:val="000000"/>
          <w:szCs w:val="21"/>
        </w:rPr>
        <w:t xml:space="preserve">Per  lavori eseguiti senza autorizzazione del DEC e in giorni/date difformi da quanto concordato sempre con il DEC, </w:t>
      </w:r>
      <w:r>
        <w:rPr>
          <w:rFonts w:cs="Segoe UI" w:ascii="Segoe UI" w:hAnsi="Segoe UI"/>
          <w:szCs w:val="21"/>
        </w:rPr>
        <w:t xml:space="preserve">si applica una </w:t>
      </w:r>
      <w:r>
        <w:rPr>
          <w:rFonts w:cs="Segoe UI" w:ascii="Segoe UI" w:hAnsi="Segoe UI"/>
          <w:b/>
          <w:bCs/>
          <w:szCs w:val="21"/>
        </w:rPr>
        <w:t xml:space="preserve">penale di Euro 100,00 (cento/00) </w:t>
      </w:r>
      <w:r>
        <w:rPr>
          <w:rFonts w:cs="Segoe UI" w:ascii="Segoe UI" w:hAnsi="Segoe UI"/>
          <w:szCs w:val="21"/>
        </w:rPr>
        <w:t xml:space="preserve">per ogni accertamento, per ogni tipologia d’intervento e per ogni località accertata. A titolo puramente esemplificativo e non esaustivo si citano l’esecuzione di un lavoro concordato il 20 febbraio ed eseguito senza comunicazione il 19 febbraio. </w:t>
      </w:r>
    </w:p>
    <w:p>
      <w:pPr>
        <w:pStyle w:val="ListParagraph"/>
        <w:numPr>
          <w:ilvl w:val="0"/>
          <w:numId w:val="5"/>
        </w:numPr>
        <w:spacing w:lineRule="auto" w:line="276" w:before="0" w:after="120"/>
        <w:ind w:hanging="357" w:left="714"/>
        <w:contextualSpacing w:val="false"/>
        <w:jc w:val="both"/>
        <w:rPr>
          <w:rFonts w:ascii="Segoe UI" w:hAnsi="Segoe UI" w:cs="Segoe UI"/>
          <w:szCs w:val="21"/>
        </w:rPr>
      </w:pPr>
      <w:r>
        <w:rPr>
          <w:rFonts w:eastAsia="Gulim" w:cs="Segoe UI" w:ascii="Segoe UI" w:hAnsi="Segoe UI"/>
          <w:color w:val="000000"/>
          <w:szCs w:val="21"/>
        </w:rPr>
        <w:t xml:space="preserve">Per non aggiornamento del dbase Ginve (lavorazione 19) secondo i termini richiesti (allineamento allo stato di fatto entro 6 mesi dalla comunicazione di affidamento del I contratto applicativo), si applica una penale giornaliera pari a </w:t>
      </w:r>
      <w:r>
        <w:rPr>
          <w:rFonts w:eastAsia="Gulim" w:cs="Segoe UI" w:ascii="Segoe UI" w:hAnsi="Segoe UI"/>
          <w:b/>
          <w:bCs/>
          <w:color w:val="000000"/>
          <w:szCs w:val="21"/>
        </w:rPr>
        <w:t>€ 50,00 (cinquanta/00);</w:t>
      </w:r>
    </w:p>
    <w:p>
      <w:pPr>
        <w:pStyle w:val="ListParagraph"/>
        <w:numPr>
          <w:ilvl w:val="0"/>
          <w:numId w:val="5"/>
        </w:numPr>
        <w:spacing w:lineRule="auto" w:line="276" w:before="0" w:after="120"/>
        <w:ind w:hanging="357" w:left="714"/>
        <w:contextualSpacing w:val="false"/>
        <w:jc w:val="both"/>
        <w:rPr>
          <w:b w:val="false"/>
          <w:bCs w:val="false"/>
        </w:rPr>
      </w:pPr>
      <w:r>
        <w:rPr>
          <w:rFonts w:eastAsia="Gulim" w:cs="Segoe UI" w:ascii="Segoe UI" w:hAnsi="Segoe UI"/>
          <w:b w:val="false"/>
          <w:bCs w:val="false"/>
          <w:color w:val="000000"/>
          <w:szCs w:val="21"/>
        </w:rPr>
        <w:t xml:space="preserve">Per il mancato rispetto degli impegni assunti in fase di presentazione dell’offerta tecnica, con specifico riferimento ai criteri A1, A2, A3, A4, D1, i applica una penale giornaliera pari a </w:t>
      </w:r>
      <w:r>
        <w:rPr>
          <w:rFonts w:eastAsia="Gulim" w:cs="Segoe UI" w:ascii="Segoe UI" w:hAnsi="Segoe UI"/>
          <w:b/>
          <w:bCs/>
          <w:color w:val="000000"/>
          <w:szCs w:val="21"/>
        </w:rPr>
        <w:t xml:space="preserve">€ 50,00 (cinquanta/00) </w:t>
      </w:r>
      <w:r>
        <w:rPr>
          <w:rFonts w:eastAsia="Gulim" w:cs="Segoe UI" w:ascii="Segoe UI" w:hAnsi="Segoe UI"/>
          <w:b w:val="false"/>
          <w:bCs w:val="false"/>
          <w:color w:val="000000"/>
          <w:szCs w:val="21"/>
        </w:rPr>
        <w:t>per ciascun criterio non rispettato, con decorrenza dalla data di consegna del I contratto applicativo;</w:t>
      </w:r>
    </w:p>
    <w:p>
      <w:pPr>
        <w:pStyle w:val="Normal"/>
        <w:spacing w:lineRule="auto" w:line="276" w:before="0" w:after="120"/>
        <w:rPr>
          <w:rFonts w:ascii="Segoe UI" w:hAnsi="Segoe UI" w:cs="Segoe UI"/>
          <w:sz w:val="21"/>
          <w:szCs w:val="21"/>
        </w:rPr>
      </w:pPr>
      <w:r>
        <w:rPr>
          <w:rFonts w:cs="Segoe UI" w:ascii="Segoe UI" w:hAnsi="Segoe UI"/>
          <w:sz w:val="21"/>
          <w:szCs w:val="21"/>
        </w:rPr>
      </w:r>
    </w:p>
    <w:p>
      <w:pPr>
        <w:pStyle w:val="BodyText"/>
        <w:tabs>
          <w:tab w:val="clear" w:pos="720"/>
          <w:tab w:val="left" w:pos="436" w:leader="none"/>
        </w:tabs>
        <w:overflowPunct w:val="false"/>
        <w:snapToGrid w:val="false"/>
        <w:spacing w:lineRule="auto" w:line="276"/>
        <w:ind w:hanging="0" w:left="0" w:right="137"/>
        <w:jc w:val="both"/>
        <w:rPr>
          <w:rFonts w:ascii="Segoe UI" w:hAnsi="Segoe UI" w:cs="Segoe UI"/>
        </w:rPr>
      </w:pPr>
      <w:r>
        <w:rPr>
          <w:rFonts w:cs="Segoe UI" w:ascii="Segoe UI" w:hAnsi="Segoe UI"/>
        </w:rPr>
      </w:r>
    </w:p>
    <w:sectPr>
      <w:footerReference w:type="default" r:id="rId8"/>
      <w:footerReference w:type="first" r:id="rId9"/>
      <w:type w:val="nextPage"/>
      <w:pgSz w:w="11906" w:h="16838"/>
      <w:pgMar w:left="1134" w:right="1134" w:gutter="0" w:header="0" w:top="1417" w:footer="737" w:bottom="1287"/>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Symbol">
    <w:charset w:val="00"/>
    <w:family w:val="roman"/>
    <w:pitch w:val="variable"/>
  </w:font>
  <w:font w:name="OpenSymbol">
    <w:altName w:val="Arial Unicode MS"/>
    <w:charset w:val="00"/>
    <w:family w:val="roman"/>
    <w:pitch w:val="variable"/>
  </w:font>
  <w:font w:name="Calibri">
    <w:charset w:val="00"/>
    <w:family w:val="roman"/>
    <w:pitch w:val="variable"/>
  </w:font>
  <w:font w:name="Arial Narrow">
    <w:charset w:val="00"/>
    <w:family w:val="roman"/>
    <w:pitch w:val="variable"/>
  </w:font>
  <w:font w:name="Courier New">
    <w:charset w:val="00"/>
    <w:family w:val="roman"/>
    <w:pitch w:val="variable"/>
  </w:font>
  <w:font w:name="Wingdings">
    <w:charset w:val="00"/>
    <w:family w:val="roman"/>
    <w:pitch w:val="variable"/>
  </w:font>
  <w:font w:name="Arial">
    <w:charset w:val="00"/>
    <w:family w:val="roman"/>
    <w:pitch w:val="variable"/>
  </w:font>
  <w:font w:name="Liberation Sans">
    <w:altName w:val="Arial"/>
    <w:charset w:val="00"/>
    <w:family w:val="roman"/>
    <w:pitch w:val="variable"/>
  </w:font>
  <w:font w:name="Segoe UI">
    <w:charset w:val="00"/>
    <w:family w:val="roman"/>
    <w:pitch w:val="variable"/>
  </w:font>
  <w:font w:name="Segoe UI">
    <w:charset w:val="01"/>
    <w:family w:val="swiss"/>
    <w:pitch w:val="variable"/>
  </w:font>
  <w:font w:name="Courier New">
    <w:charset w:val="01"/>
    <w:family w:val="modern"/>
    <w:pitch w:val="fixed"/>
  </w:font>
  <w:font w:name="Wingdings">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r>
      <w:rPr/>
      <w:fldChar w:fldCharType="begin"/>
    </w:r>
    <w:r>
      <w:rPr/>
      <w:instrText xml:space="preserve"> PAGE </w:instrText>
    </w:r>
    <w:r>
      <w:rPr/>
      <w:fldChar w:fldCharType="separate"/>
    </w:r>
    <w:r>
      <w:rPr/>
      <w:t>1</w:t>
    </w:r>
    <w:r>
      <w:rPr/>
      <w:fldChar w:fldCharType="end"/>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r>
      <w:rPr/>
      <w:fldChar w:fldCharType="begin"/>
    </w:r>
    <w:r>
      <w:rPr/>
      <w:instrText xml:space="preserve"> PAGE </w:instrText>
    </w:r>
    <w:r>
      <w:rPr/>
      <w:fldChar w:fldCharType="separate"/>
    </w:r>
    <w:r>
      <w:rPr/>
      <w:t>29</w:t>
    </w:r>
    <w:r>
      <w:rPr/>
      <w:fldChar w:fldCharType="end"/>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ft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none"/>
      <w:suff w:val="nothing"/>
      <w:lvlText w:val=""/>
      <w:lvlJc w:val="left"/>
      <w:pPr>
        <w:tabs>
          <w:tab w:val="num" w:pos="0"/>
        </w:tabs>
        <w:ind w:left="432" w:hanging="432"/>
      </w:pPr>
      <w:rPr/>
    </w:lvl>
    <w:lvl w:ilvl="1">
      <w:start w:val="1"/>
      <w:numFmt w:val="none"/>
      <w:suff w:val="nothing"/>
      <w:lvlText w:val=""/>
      <w:lvlJc w:val="left"/>
      <w:pPr>
        <w:tabs>
          <w:tab w:val="num" w:pos="0"/>
        </w:tabs>
        <w:ind w:left="576" w:hanging="576"/>
      </w:pPr>
      <w:rPr/>
    </w:lvl>
    <w:lvl w:ilvl="2">
      <w:start w:val="1"/>
      <w:numFmt w:val="none"/>
      <w:suff w:val="nothing"/>
      <w:lvlText w:val=""/>
      <w:lvlJc w:val="left"/>
      <w:pPr>
        <w:tabs>
          <w:tab w:val="num" w:pos="0"/>
        </w:tabs>
        <w:ind w:left="720" w:hanging="720"/>
      </w:pPr>
      <w:rPr/>
    </w:lvl>
    <w:lvl w:ilvl="3">
      <w:start w:val="1"/>
      <w:numFmt w:val="none"/>
      <w:suff w:val="nothing"/>
      <w:lvlText w:val=""/>
      <w:lvlJc w:val="left"/>
      <w:pPr>
        <w:tabs>
          <w:tab w:val="num" w:pos="0"/>
        </w:tabs>
        <w:ind w:left="0" w:hanging="0"/>
      </w:pPr>
      <w:rPr/>
    </w:lvl>
    <w:lvl w:ilvl="4">
      <w:start w:val="1"/>
      <w:numFmt w:val="none"/>
      <w:suff w:val="nothing"/>
      <w:lvlText w:val=""/>
      <w:lvlJc w:val="left"/>
      <w:pPr>
        <w:tabs>
          <w:tab w:val="num" w:pos="0"/>
        </w:tabs>
        <w:ind w:left="0" w:hanging="0"/>
      </w:pPr>
      <w:rPr/>
    </w:lvl>
    <w:lvl w:ilvl="5">
      <w:start w:val="1"/>
      <w:numFmt w:val="none"/>
      <w:suff w:val="nothing"/>
      <w:lvlText w:val=""/>
      <w:lvlJc w:val="left"/>
      <w:pPr>
        <w:tabs>
          <w:tab w:val="num" w:pos="0"/>
        </w:tabs>
        <w:ind w:left="0" w:hanging="0"/>
      </w:pPr>
      <w:rPr/>
    </w:lvl>
    <w:lvl w:ilvl="6">
      <w:start w:val="1"/>
      <w:numFmt w:val="none"/>
      <w:suff w:val="nothing"/>
      <w:lvlText w:val=""/>
      <w:lvlJc w:val="left"/>
      <w:pPr>
        <w:tabs>
          <w:tab w:val="num" w:pos="0"/>
        </w:tabs>
        <w:ind w:left="0" w:hanging="0"/>
      </w:pPr>
      <w:rPr/>
    </w:lvl>
    <w:lvl w:ilvl="7">
      <w:start w:val="1"/>
      <w:numFmt w:val="none"/>
      <w:suff w:val="nothing"/>
      <w:lvlText w:val=""/>
      <w:lvlJc w:val="left"/>
      <w:pPr>
        <w:tabs>
          <w:tab w:val="num" w:pos="0"/>
        </w:tabs>
        <w:ind w:left="0" w:hanging="0"/>
      </w:pPr>
      <w:rPr/>
    </w:lvl>
    <w:lvl w:ilvl="8">
      <w:start w:val="1"/>
      <w:numFmt w:val="none"/>
      <w:suff w:val="nothing"/>
      <w:lvlText w:val=""/>
      <w:lvlJc w:val="left"/>
      <w:pPr>
        <w:tabs>
          <w:tab w:val="num" w:pos="0"/>
        </w:tabs>
        <w:ind w:left="0" w:hanging="0"/>
      </w:pPr>
      <w:rPr/>
    </w:lvl>
  </w:abstractNum>
  <w:abstractNum w:abstractNumId="2">
    <w:lvl w:ilvl="0">
      <w:start w:val="1"/>
      <w:numFmt w:val="decimal"/>
      <w:lvlText w:val="Art. %1."/>
      <w:lvlJc w:val="left"/>
      <w:pPr>
        <w:tabs>
          <w:tab w:val="num" w:pos="1080"/>
        </w:tabs>
        <w:ind w:left="1080" w:hanging="360"/>
      </w:pPr>
      <w:rPr/>
    </w:lvl>
    <w:lvl w:ilvl="1">
      <w:start w:val="1"/>
      <w:numFmt w:val="decimal"/>
      <w:lvlText w:val="%2."/>
      <w:lvlJc w:val="left"/>
      <w:pPr>
        <w:tabs>
          <w:tab w:val="num" w:pos="1440"/>
        </w:tabs>
        <w:ind w:left="1440" w:hanging="360"/>
      </w:pPr>
      <w:rPr/>
    </w:lvl>
    <w:lvl w:ilvl="2">
      <w:start w:val="1"/>
      <w:numFmt w:val="lowerLetter"/>
      <w:lvlText w:val="%3."/>
      <w:lvlJc w:val="left"/>
      <w:pPr>
        <w:tabs>
          <w:tab w:val="num" w:pos="1800"/>
        </w:tabs>
        <w:ind w:left="1800" w:hanging="360"/>
      </w:pPr>
      <w:rPr/>
    </w:lvl>
    <w:lvl w:ilvl="3">
      <w:start w:val="1"/>
      <w:numFmt w:val="decimal"/>
      <w:lvlText w:val="%4."/>
      <w:lvlJc w:val="left"/>
      <w:pPr>
        <w:tabs>
          <w:tab w:val="num" w:pos="2160"/>
        </w:tabs>
        <w:ind w:left="2160" w:hanging="360"/>
      </w:pPr>
      <w:rPr/>
    </w:lvl>
    <w:lvl w:ilvl="4">
      <w:start w:val="1"/>
      <w:numFmt w:val="decimal"/>
      <w:lvlText w:val="%5."/>
      <w:lvlJc w:val="left"/>
      <w:pPr>
        <w:tabs>
          <w:tab w:val="num" w:pos="2520"/>
        </w:tabs>
        <w:ind w:left="2520" w:hanging="360"/>
      </w:pPr>
      <w:rPr/>
    </w:lvl>
    <w:lvl w:ilvl="5">
      <w:start w:val="1"/>
      <w:numFmt w:val="decimal"/>
      <w:lvlText w:val="%6."/>
      <w:lvlJc w:val="left"/>
      <w:pPr>
        <w:tabs>
          <w:tab w:val="num" w:pos="2880"/>
        </w:tabs>
        <w:ind w:left="2880" w:hanging="360"/>
      </w:pPr>
      <w:rPr/>
    </w:lvl>
    <w:lvl w:ilvl="6">
      <w:start w:val="1"/>
      <w:numFmt w:val="decimal"/>
      <w:lvlText w:val="%7."/>
      <w:lvlJc w:val="left"/>
      <w:pPr>
        <w:tabs>
          <w:tab w:val="num" w:pos="3240"/>
        </w:tabs>
        <w:ind w:left="3240" w:hanging="360"/>
      </w:pPr>
      <w:rPr/>
    </w:lvl>
    <w:lvl w:ilvl="7">
      <w:start w:val="1"/>
      <w:numFmt w:val="decimal"/>
      <w:lvlText w:val="%8."/>
      <w:lvlJc w:val="left"/>
      <w:pPr>
        <w:tabs>
          <w:tab w:val="num" w:pos="3600"/>
        </w:tabs>
        <w:ind w:left="3600" w:hanging="360"/>
      </w:pPr>
      <w:rPr/>
    </w:lvl>
    <w:lvl w:ilvl="8">
      <w:start w:val="1"/>
      <w:numFmt w:val="decimal"/>
      <w:lvlText w:val="%9."/>
      <w:lvlJc w:val="left"/>
      <w:pPr>
        <w:tabs>
          <w:tab w:val="num" w:pos="3960"/>
        </w:tabs>
        <w:ind w:left="3960" w:hanging="360"/>
      </w:pPr>
      <w:rPr/>
    </w:lvl>
  </w:abstractNum>
  <w:abstractNum w:abstractNumId="3">
    <w:lvl w:ilvl="0">
      <w:start w:val="1"/>
      <w:numFmt w:val="decimal"/>
      <w:lvlText w:val="Art. %1."/>
      <w:lvlJc w:val="left"/>
      <w:pPr>
        <w:tabs>
          <w:tab w:val="num" w:pos="1080"/>
        </w:tabs>
        <w:ind w:left="1080" w:hanging="360"/>
      </w:pPr>
      <w:rPr/>
    </w:lvl>
    <w:lvl w:ilvl="1">
      <w:start w:val="1"/>
      <w:numFmt w:val="decimal"/>
      <w:lvlText w:val="%2."/>
      <w:lvlJc w:val="left"/>
      <w:pPr>
        <w:tabs>
          <w:tab w:val="num" w:pos="1440"/>
        </w:tabs>
        <w:ind w:left="1440" w:hanging="360"/>
      </w:pPr>
      <w:rPr/>
    </w:lvl>
    <w:lvl w:ilvl="2">
      <w:start w:val="1"/>
      <w:numFmt w:val="lowerLetter"/>
      <w:lvlText w:val="%3."/>
      <w:lvlJc w:val="left"/>
      <w:pPr>
        <w:tabs>
          <w:tab w:val="num" w:pos="1800"/>
        </w:tabs>
        <w:ind w:left="1800" w:hanging="360"/>
      </w:pPr>
      <w:rPr/>
    </w:lvl>
    <w:lvl w:ilvl="3">
      <w:start w:val="1"/>
      <w:numFmt w:val="decimal"/>
      <w:lvlText w:val="%4."/>
      <w:lvlJc w:val="left"/>
      <w:pPr>
        <w:tabs>
          <w:tab w:val="num" w:pos="2160"/>
        </w:tabs>
        <w:ind w:left="2160" w:hanging="360"/>
      </w:pPr>
      <w:rPr/>
    </w:lvl>
    <w:lvl w:ilvl="4">
      <w:start w:val="1"/>
      <w:numFmt w:val="decimal"/>
      <w:lvlText w:val="%5."/>
      <w:lvlJc w:val="left"/>
      <w:pPr>
        <w:tabs>
          <w:tab w:val="num" w:pos="2520"/>
        </w:tabs>
        <w:ind w:left="2520" w:hanging="360"/>
      </w:pPr>
      <w:rPr/>
    </w:lvl>
    <w:lvl w:ilvl="5">
      <w:start w:val="1"/>
      <w:numFmt w:val="decimal"/>
      <w:lvlText w:val="%6."/>
      <w:lvlJc w:val="left"/>
      <w:pPr>
        <w:tabs>
          <w:tab w:val="num" w:pos="2880"/>
        </w:tabs>
        <w:ind w:left="2880" w:hanging="360"/>
      </w:pPr>
      <w:rPr/>
    </w:lvl>
    <w:lvl w:ilvl="6">
      <w:start w:val="1"/>
      <w:numFmt w:val="decimal"/>
      <w:lvlText w:val="%7."/>
      <w:lvlJc w:val="left"/>
      <w:pPr>
        <w:tabs>
          <w:tab w:val="num" w:pos="3240"/>
        </w:tabs>
        <w:ind w:left="3240" w:hanging="360"/>
      </w:pPr>
      <w:rPr/>
    </w:lvl>
    <w:lvl w:ilvl="7">
      <w:start w:val="1"/>
      <w:numFmt w:val="decimal"/>
      <w:lvlText w:val="%8."/>
      <w:lvlJc w:val="left"/>
      <w:pPr>
        <w:tabs>
          <w:tab w:val="num" w:pos="3600"/>
        </w:tabs>
        <w:ind w:left="3600" w:hanging="360"/>
      </w:pPr>
      <w:rPr/>
    </w:lvl>
    <w:lvl w:ilvl="8">
      <w:start w:val="1"/>
      <w:numFmt w:val="decimal"/>
      <w:lvlText w:val="%9."/>
      <w:lvlJc w:val="left"/>
      <w:pPr>
        <w:tabs>
          <w:tab w:val="num" w:pos="3960"/>
        </w:tabs>
        <w:ind w:left="3960" w:hanging="360"/>
      </w:pPr>
      <w:rPr/>
    </w:lvl>
  </w:abstractNum>
  <w:abstractNum w:abstractNumId="4">
    <w:lvl w:ilvl="0">
      <w:start w:val="1"/>
      <w:numFmt w:val="decimal"/>
      <w:lvlText w:val="Art. %1."/>
      <w:lvlJc w:val="left"/>
      <w:pPr>
        <w:tabs>
          <w:tab w:val="num" w:pos="1080"/>
        </w:tabs>
        <w:ind w:left="1080" w:hanging="360"/>
      </w:pPr>
      <w:rPr/>
    </w:lvl>
    <w:lvl w:ilvl="1">
      <w:start w:val="1"/>
      <w:numFmt w:val="decimal"/>
      <w:lvlText w:val="%2."/>
      <w:lvlJc w:val="left"/>
      <w:pPr>
        <w:tabs>
          <w:tab w:val="num" w:pos="1440"/>
        </w:tabs>
        <w:ind w:left="1440" w:hanging="360"/>
      </w:pPr>
      <w:rPr/>
    </w:lvl>
    <w:lvl w:ilvl="2">
      <w:start w:val="1"/>
      <w:numFmt w:val="lowerLetter"/>
      <w:lvlText w:val="%3."/>
      <w:lvlJc w:val="left"/>
      <w:pPr>
        <w:tabs>
          <w:tab w:val="num" w:pos="1800"/>
        </w:tabs>
        <w:ind w:left="1800" w:hanging="360"/>
      </w:pPr>
      <w:rPr/>
    </w:lvl>
    <w:lvl w:ilvl="3">
      <w:start w:val="1"/>
      <w:numFmt w:val="bullet"/>
      <w:lvlText w:val=""/>
      <w:lvlJc w:val="left"/>
      <w:pPr>
        <w:tabs>
          <w:tab w:val="num" w:pos="0"/>
        </w:tabs>
        <w:ind w:left="2160" w:hanging="360"/>
      </w:pPr>
      <w:rPr>
        <w:rFonts w:ascii="Symbol" w:hAnsi="Symbol" w:cs="Symbol" w:hint="default"/>
      </w:rPr>
    </w:lvl>
    <w:lvl w:ilvl="4">
      <w:start w:val="1"/>
      <w:numFmt w:val="decimal"/>
      <w:lvlText w:val="%5."/>
      <w:lvlJc w:val="left"/>
      <w:pPr>
        <w:tabs>
          <w:tab w:val="num" w:pos="2520"/>
        </w:tabs>
        <w:ind w:left="2520" w:hanging="360"/>
      </w:pPr>
      <w:rPr/>
    </w:lvl>
    <w:lvl w:ilvl="5">
      <w:start w:val="1"/>
      <w:numFmt w:val="decimal"/>
      <w:lvlText w:val="%6."/>
      <w:lvlJc w:val="left"/>
      <w:pPr>
        <w:tabs>
          <w:tab w:val="num" w:pos="2880"/>
        </w:tabs>
        <w:ind w:left="2880" w:hanging="360"/>
      </w:pPr>
      <w:rPr/>
    </w:lvl>
    <w:lvl w:ilvl="6">
      <w:start w:val="1"/>
      <w:numFmt w:val="decimal"/>
      <w:lvlText w:val="%7."/>
      <w:lvlJc w:val="left"/>
      <w:pPr>
        <w:tabs>
          <w:tab w:val="num" w:pos="3240"/>
        </w:tabs>
        <w:ind w:left="3240" w:hanging="360"/>
      </w:pPr>
      <w:rPr/>
    </w:lvl>
    <w:lvl w:ilvl="7">
      <w:start w:val="1"/>
      <w:numFmt w:val="decimal"/>
      <w:lvlText w:val="%8."/>
      <w:lvlJc w:val="left"/>
      <w:pPr>
        <w:tabs>
          <w:tab w:val="num" w:pos="3600"/>
        </w:tabs>
        <w:ind w:left="3600" w:hanging="360"/>
      </w:pPr>
      <w:rPr/>
    </w:lvl>
    <w:lvl w:ilvl="8">
      <w:start w:val="1"/>
      <w:numFmt w:val="decimal"/>
      <w:lvlText w:val="%9."/>
      <w:lvlJc w:val="left"/>
      <w:pPr>
        <w:tabs>
          <w:tab w:val="num" w:pos="3960"/>
        </w:tabs>
        <w:ind w:left="3960" w:hanging="360"/>
      </w:pPr>
      <w:rPr/>
    </w:lvl>
  </w:abstractNum>
  <w:abstractNum w:abstractNumId="5">
    <w:lvl w:ilvl="0">
      <w:start w:val="1"/>
      <w:numFmt w:val="decimal"/>
      <w:lvlText w:val="%1)"/>
      <w:lvlJc w:val="left"/>
      <w:pPr>
        <w:tabs>
          <w:tab w:val="num" w:pos="0"/>
        </w:tabs>
        <w:ind w:left="720" w:hanging="360"/>
      </w:pPr>
      <w:rPr>
        <w:b w:val="false"/>
        <w:bCs w:val="false"/>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6">
    <w:lvl w:ilvl="0">
      <w:numFmt w:val="bullet"/>
      <w:lvlText w:val="-"/>
      <w:lvlJc w:val="left"/>
      <w:pPr>
        <w:tabs>
          <w:tab w:val="num" w:pos="0"/>
        </w:tabs>
        <w:ind w:left="720" w:hanging="360"/>
      </w:pPr>
      <w:rPr>
        <w:rFonts w:ascii="Segoe UI" w:hAnsi="Segoe UI" w:cs="Segoe U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lvl w:ilvl="0">
      <w:start w:val="1"/>
      <w:numFmt w:val="decimal"/>
      <w:lvlText w:val="Art. %1."/>
      <w:lvlJc w:val="left"/>
      <w:pPr>
        <w:tabs>
          <w:tab w:val="num" w:pos="1080"/>
        </w:tabs>
        <w:ind w:left="1080" w:hanging="360"/>
      </w:pPr>
      <w:rPr/>
    </w:lvl>
    <w:lvl w:ilvl="1">
      <w:start w:val="1"/>
      <w:numFmt w:val="decimal"/>
      <w:lvlText w:val="%2."/>
      <w:lvlJc w:val="left"/>
      <w:pPr>
        <w:tabs>
          <w:tab w:val="num" w:pos="1440"/>
        </w:tabs>
        <w:ind w:left="1440" w:hanging="360"/>
      </w:pPr>
      <w:rPr/>
    </w:lvl>
    <w:lvl w:ilvl="2">
      <w:start w:val="1"/>
      <w:numFmt w:val="bullet"/>
      <w:lvlText w:val=""/>
      <w:lvlJc w:val="left"/>
      <w:pPr>
        <w:tabs>
          <w:tab w:val="num" w:pos="0"/>
        </w:tabs>
        <w:ind w:left="1800" w:hanging="360"/>
      </w:pPr>
      <w:rPr>
        <w:rFonts w:ascii="Symbol" w:hAnsi="Symbol" w:cs="Symbol" w:hint="default"/>
      </w:rPr>
    </w:lvl>
    <w:lvl w:ilvl="3">
      <w:start w:val="1"/>
      <w:numFmt w:val="decimal"/>
      <w:lvlText w:val="%4."/>
      <w:lvlJc w:val="left"/>
      <w:pPr>
        <w:tabs>
          <w:tab w:val="num" w:pos="2160"/>
        </w:tabs>
        <w:ind w:left="2160" w:hanging="360"/>
      </w:pPr>
      <w:rPr/>
    </w:lvl>
    <w:lvl w:ilvl="4">
      <w:start w:val="1"/>
      <w:numFmt w:val="decimal"/>
      <w:lvlText w:val="%5."/>
      <w:lvlJc w:val="left"/>
      <w:pPr>
        <w:tabs>
          <w:tab w:val="num" w:pos="2520"/>
        </w:tabs>
        <w:ind w:left="2520" w:hanging="360"/>
      </w:pPr>
      <w:rPr/>
    </w:lvl>
    <w:lvl w:ilvl="5">
      <w:start w:val="1"/>
      <w:numFmt w:val="decimal"/>
      <w:lvlText w:val="%6."/>
      <w:lvlJc w:val="left"/>
      <w:pPr>
        <w:tabs>
          <w:tab w:val="num" w:pos="2880"/>
        </w:tabs>
        <w:ind w:left="2880" w:hanging="360"/>
      </w:pPr>
      <w:rPr/>
    </w:lvl>
    <w:lvl w:ilvl="6">
      <w:start w:val="1"/>
      <w:numFmt w:val="decimal"/>
      <w:lvlText w:val="%7."/>
      <w:lvlJc w:val="left"/>
      <w:pPr>
        <w:tabs>
          <w:tab w:val="num" w:pos="3240"/>
        </w:tabs>
        <w:ind w:left="3240" w:hanging="360"/>
      </w:pPr>
      <w:rPr/>
    </w:lvl>
    <w:lvl w:ilvl="7">
      <w:start w:val="1"/>
      <w:numFmt w:val="decimal"/>
      <w:lvlText w:val="%8."/>
      <w:lvlJc w:val="left"/>
      <w:pPr>
        <w:tabs>
          <w:tab w:val="num" w:pos="3600"/>
        </w:tabs>
        <w:ind w:left="3600" w:hanging="360"/>
      </w:pPr>
      <w:rPr/>
    </w:lvl>
    <w:lvl w:ilvl="8">
      <w:start w:val="1"/>
      <w:numFmt w:val="decimal"/>
      <w:lvlText w:val="%9."/>
      <w:lvlJc w:val="left"/>
      <w:pPr>
        <w:tabs>
          <w:tab w:val="num" w:pos="3960"/>
        </w:tabs>
        <w:ind w:left="3960" w:hanging="360"/>
      </w:pPr>
      <w:rPr/>
    </w:lvl>
  </w:abstractNum>
  <w:abstractNum w:abstractNumId="8">
    <w:lvl w:ilvl="0">
      <w:start w:val="1"/>
      <w:numFmt w:val="bullet"/>
      <w:lvlText w:val=""/>
      <w:lvlJc w:val="left"/>
      <w:pPr>
        <w:tabs>
          <w:tab w:val="num" w:pos="1080"/>
        </w:tabs>
        <w:ind w:left="1080" w:hanging="360"/>
      </w:pPr>
      <w:rPr>
        <w:rFonts w:ascii="Wingdings" w:hAnsi="Wingdings" w:cs="Wingdings" w:hint="default"/>
      </w:rPr>
    </w:lvl>
    <w:lvl w:ilvl="1">
      <w:start w:val="1"/>
      <w:numFmt w:val="decimal"/>
      <w:lvlText w:val="%2."/>
      <w:lvlJc w:val="left"/>
      <w:pPr>
        <w:tabs>
          <w:tab w:val="num" w:pos="1440"/>
        </w:tabs>
        <w:ind w:left="1440" w:hanging="360"/>
      </w:pPr>
      <w:rPr/>
    </w:lvl>
    <w:lvl w:ilvl="2">
      <w:start w:val="1"/>
      <w:numFmt w:val="bullet"/>
      <w:lvlText w:val=""/>
      <w:lvlJc w:val="left"/>
      <w:pPr>
        <w:tabs>
          <w:tab w:val="num" w:pos="0"/>
        </w:tabs>
        <w:ind w:left="1800" w:hanging="360"/>
      </w:pPr>
      <w:rPr>
        <w:rFonts w:ascii="Symbol" w:hAnsi="Symbol" w:cs="Symbol" w:hint="default"/>
      </w:rPr>
    </w:lvl>
    <w:lvl w:ilvl="3">
      <w:start w:val="1"/>
      <w:numFmt w:val="decimal"/>
      <w:lvlText w:val="%4."/>
      <w:lvlJc w:val="left"/>
      <w:pPr>
        <w:tabs>
          <w:tab w:val="num" w:pos="2160"/>
        </w:tabs>
        <w:ind w:left="2160" w:hanging="360"/>
      </w:pPr>
      <w:rPr/>
    </w:lvl>
    <w:lvl w:ilvl="4">
      <w:start w:val="1"/>
      <w:numFmt w:val="decimal"/>
      <w:lvlText w:val="%5."/>
      <w:lvlJc w:val="left"/>
      <w:pPr>
        <w:tabs>
          <w:tab w:val="num" w:pos="2520"/>
        </w:tabs>
        <w:ind w:left="2520" w:hanging="360"/>
      </w:pPr>
      <w:rPr/>
    </w:lvl>
    <w:lvl w:ilvl="5">
      <w:start w:val="1"/>
      <w:numFmt w:val="decimal"/>
      <w:lvlText w:val="%6."/>
      <w:lvlJc w:val="left"/>
      <w:pPr>
        <w:tabs>
          <w:tab w:val="num" w:pos="2880"/>
        </w:tabs>
        <w:ind w:left="2880" w:hanging="360"/>
      </w:pPr>
      <w:rPr/>
    </w:lvl>
    <w:lvl w:ilvl="6">
      <w:start w:val="1"/>
      <w:numFmt w:val="decimal"/>
      <w:lvlText w:val="%7."/>
      <w:lvlJc w:val="left"/>
      <w:pPr>
        <w:tabs>
          <w:tab w:val="num" w:pos="3240"/>
        </w:tabs>
        <w:ind w:left="3240" w:hanging="360"/>
      </w:pPr>
      <w:rPr/>
    </w:lvl>
    <w:lvl w:ilvl="7">
      <w:start w:val="1"/>
      <w:numFmt w:val="decimal"/>
      <w:lvlText w:val="%8."/>
      <w:lvlJc w:val="left"/>
      <w:pPr>
        <w:tabs>
          <w:tab w:val="num" w:pos="3600"/>
        </w:tabs>
        <w:ind w:left="3600" w:hanging="360"/>
      </w:pPr>
      <w:rPr/>
    </w:lvl>
    <w:lvl w:ilvl="8">
      <w:start w:val="1"/>
      <w:numFmt w:val="decimal"/>
      <w:lvlText w:val="%9."/>
      <w:lvlJc w:val="left"/>
      <w:pPr>
        <w:tabs>
          <w:tab w:val="num" w:pos="3960"/>
        </w:tabs>
        <w:ind w:left="3960" w:hanging="360"/>
      </w:pPr>
      <w:rPr/>
    </w:lvl>
  </w:abstractNum>
  <w:abstractNum w:abstractNumId="9">
    <w:lvl w:ilvl="0">
      <w:numFmt w:val="bullet"/>
      <w:lvlText w:val="-"/>
      <w:lvlJc w:val="left"/>
      <w:pPr>
        <w:tabs>
          <w:tab w:val="num" w:pos="0"/>
        </w:tabs>
        <w:ind w:left="2672" w:hanging="360"/>
      </w:pPr>
      <w:rPr>
        <w:rFonts w:ascii="Segoe UI" w:hAnsi="Segoe UI" w:cs="Segoe UI" w:hint="default"/>
      </w:rPr>
    </w:lvl>
    <w:lvl w:ilvl="1">
      <w:start w:val="1"/>
      <w:numFmt w:val="bullet"/>
      <w:lvlText w:val="o"/>
      <w:lvlJc w:val="left"/>
      <w:pPr>
        <w:tabs>
          <w:tab w:val="num" w:pos="0"/>
        </w:tabs>
        <w:ind w:left="3392" w:hanging="360"/>
      </w:pPr>
      <w:rPr>
        <w:rFonts w:ascii="Courier New" w:hAnsi="Courier New" w:cs="Courier New" w:hint="default"/>
      </w:rPr>
    </w:lvl>
    <w:lvl w:ilvl="2">
      <w:start w:val="1"/>
      <w:numFmt w:val="bullet"/>
      <w:lvlText w:val=""/>
      <w:lvlJc w:val="left"/>
      <w:pPr>
        <w:tabs>
          <w:tab w:val="num" w:pos="0"/>
        </w:tabs>
        <w:ind w:left="4112" w:hanging="360"/>
      </w:pPr>
      <w:rPr>
        <w:rFonts w:ascii="Wingdings" w:hAnsi="Wingdings" w:cs="Wingdings" w:hint="default"/>
      </w:rPr>
    </w:lvl>
    <w:lvl w:ilvl="3">
      <w:start w:val="1"/>
      <w:numFmt w:val="bullet"/>
      <w:lvlText w:val=""/>
      <w:lvlJc w:val="left"/>
      <w:pPr>
        <w:tabs>
          <w:tab w:val="num" w:pos="0"/>
        </w:tabs>
        <w:ind w:left="4832" w:hanging="360"/>
      </w:pPr>
      <w:rPr>
        <w:rFonts w:ascii="Symbol" w:hAnsi="Symbol" w:cs="Symbol" w:hint="default"/>
      </w:rPr>
    </w:lvl>
    <w:lvl w:ilvl="4">
      <w:start w:val="1"/>
      <w:numFmt w:val="bullet"/>
      <w:lvlText w:val="o"/>
      <w:lvlJc w:val="left"/>
      <w:pPr>
        <w:tabs>
          <w:tab w:val="num" w:pos="0"/>
        </w:tabs>
        <w:ind w:left="5552" w:hanging="360"/>
      </w:pPr>
      <w:rPr>
        <w:rFonts w:ascii="Courier New" w:hAnsi="Courier New" w:cs="Courier New" w:hint="default"/>
      </w:rPr>
    </w:lvl>
    <w:lvl w:ilvl="5">
      <w:start w:val="1"/>
      <w:numFmt w:val="bullet"/>
      <w:lvlText w:val=""/>
      <w:lvlJc w:val="left"/>
      <w:pPr>
        <w:tabs>
          <w:tab w:val="num" w:pos="0"/>
        </w:tabs>
        <w:ind w:left="6272" w:hanging="360"/>
      </w:pPr>
      <w:rPr>
        <w:rFonts w:ascii="Wingdings" w:hAnsi="Wingdings" w:cs="Wingdings" w:hint="default"/>
      </w:rPr>
    </w:lvl>
    <w:lvl w:ilvl="6">
      <w:start w:val="1"/>
      <w:numFmt w:val="bullet"/>
      <w:lvlText w:val=""/>
      <w:lvlJc w:val="left"/>
      <w:pPr>
        <w:tabs>
          <w:tab w:val="num" w:pos="0"/>
        </w:tabs>
        <w:ind w:left="6992" w:hanging="360"/>
      </w:pPr>
      <w:rPr>
        <w:rFonts w:ascii="Symbol" w:hAnsi="Symbol" w:cs="Symbol" w:hint="default"/>
      </w:rPr>
    </w:lvl>
    <w:lvl w:ilvl="7">
      <w:start w:val="1"/>
      <w:numFmt w:val="bullet"/>
      <w:lvlText w:val="o"/>
      <w:lvlJc w:val="left"/>
      <w:pPr>
        <w:tabs>
          <w:tab w:val="num" w:pos="0"/>
        </w:tabs>
        <w:ind w:left="7712" w:hanging="360"/>
      </w:pPr>
      <w:rPr>
        <w:rFonts w:ascii="Courier New" w:hAnsi="Courier New" w:cs="Courier New" w:hint="default"/>
      </w:rPr>
    </w:lvl>
    <w:lvl w:ilvl="8">
      <w:start w:val="1"/>
      <w:numFmt w:val="bullet"/>
      <w:lvlText w:val=""/>
      <w:lvlJc w:val="left"/>
      <w:pPr>
        <w:tabs>
          <w:tab w:val="num" w:pos="0"/>
        </w:tabs>
        <w:ind w:left="8432" w:hanging="360"/>
      </w:pPr>
      <w:rPr>
        <w:rFonts w:ascii="Wingdings" w:hAnsi="Wingdings" w:cs="Wingdings" w:hint="default"/>
      </w:rPr>
    </w:lvl>
  </w:abstractNum>
  <w:abstractNum w:abstractNumId="10">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w="http://schemas.openxmlformats.org/wordprocessingml/2006/main">
  <w:zoom w:percent="80"/>
  <w:displayBackgroundShape/>
  <w:embedSystemFonts/>
  <w:defaultTabStop w:val="720"/>
  <w:autoHyphenation w:val="true"/>
  <w:compat>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themeFontLang w:val="it-IT"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lang w:val="it-IT" w:eastAsia="it-IT"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val="false"/>
      <w:suppressAutoHyphens w:val="true"/>
      <w:bidi w:val="0"/>
      <w:spacing w:before="0" w:after="0"/>
      <w:jc w:val="left"/>
    </w:pPr>
    <w:rPr>
      <w:rFonts w:ascii="Times New Roman" w:hAnsi="Times New Roman" w:eastAsia="Times New Roman" w:cs="Times New Roman"/>
      <w:color w:val="auto"/>
      <w:kern w:val="0"/>
      <w:sz w:val="24"/>
      <w:szCs w:val="24"/>
      <w:lang w:val="it-IT" w:eastAsia="zh-CN" w:bidi="ar-SA"/>
    </w:rPr>
  </w:style>
  <w:style w:type="paragraph" w:styleId="Heading1">
    <w:name w:val="Heading 1"/>
    <w:basedOn w:val="Titolo1"/>
    <w:next w:val="BodyText"/>
    <w:qFormat/>
    <w:pPr>
      <w:numPr>
        <w:ilvl w:val="0"/>
        <w:numId w:val="1"/>
      </w:numPr>
      <w:outlineLvl w:val="0"/>
    </w:pPr>
    <w:rPr>
      <w:b/>
      <w:bCs/>
      <w:sz w:val="36"/>
      <w:szCs w:val="36"/>
    </w:rPr>
  </w:style>
  <w:style w:type="paragraph" w:styleId="Heading2">
    <w:name w:val="Heading 2"/>
    <w:basedOn w:val="Titolo1"/>
    <w:next w:val="BodyText"/>
    <w:qFormat/>
    <w:pPr>
      <w:numPr>
        <w:ilvl w:val="1"/>
        <w:numId w:val="1"/>
      </w:numPr>
      <w:spacing w:before="200" w:after="120"/>
      <w:outlineLvl w:val="1"/>
    </w:pPr>
    <w:rPr>
      <w:b/>
      <w:bCs/>
      <w:sz w:val="32"/>
      <w:szCs w:val="32"/>
    </w:rPr>
  </w:style>
  <w:style w:type="paragraph" w:styleId="Heading3">
    <w:name w:val="Heading 3"/>
    <w:basedOn w:val="Titolo1"/>
    <w:next w:val="BodyText"/>
    <w:qFormat/>
    <w:pPr>
      <w:numPr>
        <w:ilvl w:val="2"/>
        <w:numId w:val="1"/>
      </w:numPr>
      <w:spacing w:before="140" w:after="120"/>
      <w:outlineLvl w:val="2"/>
    </w:pPr>
    <w:rPr>
      <w:b/>
      <w:bCs/>
    </w:rPr>
  </w:style>
  <w:style w:type="paragraph" w:styleId="Heading4">
    <w:name w:val="Heading 4"/>
    <w:basedOn w:val="Titolo2"/>
    <w:next w:val="BodyText"/>
    <w:qFormat/>
    <w:pPr>
      <w:numPr>
        <w:ilvl w:val="3"/>
        <w:numId w:val="1"/>
      </w:numPr>
      <w:spacing w:before="120" w:after="120"/>
      <w:outlineLvl w:val="3"/>
    </w:pPr>
    <w:rPr>
      <w:i/>
      <w:iCs/>
      <w:sz w:val="26"/>
      <w:szCs w:val="26"/>
    </w:rPr>
  </w:style>
  <w:style w:type="character" w:styleId="DefaultParagraphFont" w:default="1">
    <w:name w:val="Default Paragraph Font"/>
    <w:uiPriority w:val="1"/>
    <w:semiHidden/>
    <w:unhideWhenUsed/>
    <w:qFormat/>
    <w:rPr/>
  </w:style>
  <w:style w:type="character" w:styleId="WW8Num3z0" w:customStyle="1">
    <w:name w:val="WW8Num3z0"/>
    <w:qFormat/>
    <w:rPr>
      <w:rFonts w:ascii="Symbol" w:hAnsi="Symbol" w:cs="OpenSymbol"/>
    </w:rPr>
  </w:style>
  <w:style w:type="character" w:styleId="WW8Num3z1" w:customStyle="1">
    <w:name w:val="WW8Num3z1"/>
    <w:qFormat/>
    <w:rPr>
      <w:rFonts w:ascii="OpenSymbol" w:hAnsi="OpenSymbol" w:cs="OpenSymbol"/>
    </w:rPr>
  </w:style>
  <w:style w:type="character" w:styleId="WW8Num4z0" w:customStyle="1">
    <w:name w:val="WW8Num4z0"/>
    <w:qFormat/>
    <w:rPr>
      <w:rFonts w:ascii="Symbol" w:hAnsi="Symbol" w:cs="OpenSymbol"/>
    </w:rPr>
  </w:style>
  <w:style w:type="character" w:styleId="WW8Num4z1" w:customStyle="1">
    <w:name w:val="WW8Num4z1"/>
    <w:qFormat/>
    <w:rPr>
      <w:rFonts w:ascii="OpenSymbol" w:hAnsi="OpenSymbol" w:cs="OpenSymbol"/>
    </w:rPr>
  </w:style>
  <w:style w:type="character" w:styleId="WW8Num5z0" w:customStyle="1">
    <w:name w:val="WW8Num5z0"/>
    <w:qFormat/>
    <w:rPr>
      <w:rFonts w:ascii="Symbol" w:hAnsi="Symbol" w:cs="OpenSymbol"/>
    </w:rPr>
  </w:style>
  <w:style w:type="character" w:styleId="WW8Num5z1" w:customStyle="1">
    <w:name w:val="WW8Num5z1"/>
    <w:qFormat/>
    <w:rPr>
      <w:rFonts w:ascii="OpenSymbol" w:hAnsi="OpenSymbol" w:cs="OpenSymbol"/>
    </w:rPr>
  </w:style>
  <w:style w:type="character" w:styleId="WW8Num6z0" w:customStyle="1">
    <w:name w:val="WW8Num6z0"/>
    <w:qFormat/>
    <w:rPr>
      <w:rFonts w:ascii="Symbol" w:hAnsi="Symbol" w:cs="OpenSymbol"/>
    </w:rPr>
  </w:style>
  <w:style w:type="character" w:styleId="WW8Num6z1" w:customStyle="1">
    <w:name w:val="WW8Num6z1"/>
    <w:qFormat/>
    <w:rPr>
      <w:rFonts w:ascii="OpenSymbol" w:hAnsi="OpenSymbol" w:cs="OpenSymbol"/>
    </w:rPr>
  </w:style>
  <w:style w:type="character" w:styleId="WW8Num7z0" w:customStyle="1">
    <w:name w:val="WW8Num7z0"/>
    <w:qFormat/>
    <w:rPr>
      <w:rFonts w:ascii="Symbol" w:hAnsi="Symbol" w:cs="OpenSymbol"/>
    </w:rPr>
  </w:style>
  <w:style w:type="character" w:styleId="WW8Num7z1" w:customStyle="1">
    <w:name w:val="WW8Num7z1"/>
    <w:qFormat/>
    <w:rPr>
      <w:rFonts w:ascii="OpenSymbol" w:hAnsi="OpenSymbol" w:cs="OpenSymbol"/>
    </w:rPr>
  </w:style>
  <w:style w:type="character" w:styleId="WW8Num8z0" w:customStyle="1">
    <w:name w:val="WW8Num8z0"/>
    <w:qFormat/>
    <w:rPr>
      <w:rFonts w:ascii="Symbol" w:hAnsi="Symbol" w:cs="OpenSymbol"/>
    </w:rPr>
  </w:style>
  <w:style w:type="character" w:styleId="WW8Num8z1" w:customStyle="1">
    <w:name w:val="WW8Num8z1"/>
    <w:qFormat/>
    <w:rPr>
      <w:rFonts w:ascii="OpenSymbol" w:hAnsi="OpenSymbol" w:cs="OpenSymbol"/>
    </w:rPr>
  </w:style>
  <w:style w:type="character" w:styleId="WW8Num9z0" w:customStyle="1">
    <w:name w:val="WW8Num9z0"/>
    <w:qFormat/>
    <w:rPr>
      <w:rFonts w:ascii="Symbol" w:hAnsi="Symbol" w:cs="OpenSymbol"/>
    </w:rPr>
  </w:style>
  <w:style w:type="character" w:styleId="WW8Num9z1" w:customStyle="1">
    <w:name w:val="WW8Num9z1"/>
    <w:qFormat/>
    <w:rPr>
      <w:rFonts w:ascii="OpenSymbol" w:hAnsi="OpenSymbol" w:cs="OpenSymbol"/>
    </w:rPr>
  </w:style>
  <w:style w:type="character" w:styleId="WW8Num10z0" w:customStyle="1">
    <w:name w:val="WW8Num10z0"/>
    <w:qFormat/>
    <w:rPr>
      <w:rFonts w:ascii="Symbol" w:hAnsi="Symbol" w:cs="OpenSymbol"/>
    </w:rPr>
  </w:style>
  <w:style w:type="character" w:styleId="WW8Num10z1" w:customStyle="1">
    <w:name w:val="WW8Num10z1"/>
    <w:qFormat/>
    <w:rPr>
      <w:rFonts w:ascii="OpenSymbol" w:hAnsi="OpenSymbol" w:cs="OpenSymbol"/>
    </w:rPr>
  </w:style>
  <w:style w:type="character" w:styleId="WW8Num11z0" w:customStyle="1">
    <w:name w:val="WW8Num11z0"/>
    <w:qFormat/>
    <w:rPr>
      <w:rFonts w:ascii="Symbol" w:hAnsi="Symbol" w:cs="OpenSymbol"/>
    </w:rPr>
  </w:style>
  <w:style w:type="character" w:styleId="WW8Num11z1" w:customStyle="1">
    <w:name w:val="WW8Num11z1"/>
    <w:qFormat/>
    <w:rPr>
      <w:rFonts w:ascii="OpenSymbol" w:hAnsi="OpenSymbol" w:cs="OpenSymbol"/>
    </w:rPr>
  </w:style>
  <w:style w:type="character" w:styleId="WW8Num12z0" w:customStyle="1">
    <w:name w:val="WW8Num12z0"/>
    <w:qFormat/>
    <w:rPr>
      <w:rFonts w:ascii="Symbol" w:hAnsi="Symbol" w:cs="OpenSymbol"/>
    </w:rPr>
  </w:style>
  <w:style w:type="character" w:styleId="WW8Num12z1" w:customStyle="1">
    <w:name w:val="WW8Num12z1"/>
    <w:qFormat/>
    <w:rPr>
      <w:rFonts w:ascii="OpenSymbol" w:hAnsi="OpenSymbol" w:cs="OpenSymbol"/>
    </w:rPr>
  </w:style>
  <w:style w:type="character" w:styleId="WW8Num13z0" w:customStyle="1">
    <w:name w:val="WW8Num13z0"/>
    <w:qFormat/>
    <w:rPr>
      <w:rFonts w:ascii="Symbol" w:hAnsi="Symbol" w:cs="OpenSymbol"/>
    </w:rPr>
  </w:style>
  <w:style w:type="character" w:styleId="WW8Num13z1" w:customStyle="1">
    <w:name w:val="WW8Num13z1"/>
    <w:qFormat/>
    <w:rPr>
      <w:rFonts w:ascii="OpenSymbol" w:hAnsi="OpenSymbol" w:cs="OpenSymbol"/>
    </w:rPr>
  </w:style>
  <w:style w:type="character" w:styleId="WW8Num2z0" w:customStyle="1">
    <w:name w:val="WW8Num2z0"/>
    <w:qFormat/>
    <w:rPr>
      <w:rFonts w:ascii="Calibri" w:hAnsi="Calibri" w:cs="Calibri"/>
      <w:b w:val="false"/>
      <w:spacing w:val="-1"/>
      <w:sz w:val="22"/>
      <w:szCs w:val="23"/>
    </w:rPr>
  </w:style>
  <w:style w:type="character" w:styleId="WW8Num2z1" w:customStyle="1">
    <w:name w:val="WW8Num2z1"/>
    <w:qFormat/>
    <w:rPr>
      <w:rFonts w:ascii="Calibri" w:hAnsi="Calibri" w:cs="Calibri"/>
      <w:b w:val="false"/>
      <w:bCs w:val="false"/>
      <w:spacing w:val="-1"/>
      <w:sz w:val="22"/>
      <w:szCs w:val="22"/>
    </w:rPr>
  </w:style>
  <w:style w:type="character" w:styleId="WW8Num2z2" w:customStyle="1">
    <w:name w:val="WW8Num2z2"/>
    <w:qFormat/>
    <w:rPr>
      <w:rFonts w:ascii="Symbol" w:hAnsi="Symbol" w:cs="Symbol"/>
      <w:b w:val="false"/>
      <w:spacing w:val="-1"/>
      <w:sz w:val="22"/>
    </w:rPr>
  </w:style>
  <w:style w:type="character" w:styleId="WW8Num2z3" w:customStyle="1">
    <w:name w:val="WW8Num2z3"/>
    <w:qFormat/>
    <w:rPr>
      <w:rFonts w:ascii="Liberation Serif" w:hAnsi="Liberation Serif" w:cs="Liberation Serif"/>
    </w:rPr>
  </w:style>
  <w:style w:type="character" w:styleId="WW8Num14z0" w:customStyle="1">
    <w:name w:val="WW8Num14z0"/>
    <w:qFormat/>
    <w:rPr>
      <w:rFonts w:ascii="Symbol" w:hAnsi="Symbol" w:cs="OpenSymbol"/>
    </w:rPr>
  </w:style>
  <w:style w:type="character" w:styleId="WW8Num14z1" w:customStyle="1">
    <w:name w:val="WW8Num14z1"/>
    <w:qFormat/>
    <w:rPr>
      <w:rFonts w:ascii="OpenSymbol" w:hAnsi="OpenSymbol" w:cs="OpenSymbol"/>
    </w:rPr>
  </w:style>
  <w:style w:type="character" w:styleId="WW8Num15z0" w:customStyle="1">
    <w:name w:val="WW8Num15z0"/>
    <w:qFormat/>
    <w:rPr>
      <w:rFonts w:ascii="Symbol" w:hAnsi="Symbol" w:cs="OpenSymbol"/>
    </w:rPr>
  </w:style>
  <w:style w:type="character" w:styleId="WW8Num15z1" w:customStyle="1">
    <w:name w:val="WW8Num15z1"/>
    <w:qFormat/>
    <w:rPr>
      <w:rFonts w:ascii="OpenSymbol" w:hAnsi="OpenSymbol" w:cs="OpenSymbol"/>
    </w:rPr>
  </w:style>
  <w:style w:type="character" w:styleId="WW8Num16z0" w:customStyle="1">
    <w:name w:val="WW8Num16z0"/>
    <w:qFormat/>
    <w:rPr>
      <w:rFonts w:ascii="Symbol" w:hAnsi="Symbol" w:cs="OpenSymbol"/>
    </w:rPr>
  </w:style>
  <w:style w:type="character" w:styleId="WW8Num16z1" w:customStyle="1">
    <w:name w:val="WW8Num16z1"/>
    <w:qFormat/>
    <w:rPr>
      <w:rFonts w:ascii="OpenSymbol" w:hAnsi="OpenSymbol" w:cs="OpenSymbol"/>
    </w:rPr>
  </w:style>
  <w:style w:type="character" w:styleId="WW8Num17z0" w:customStyle="1">
    <w:name w:val="WW8Num17z0"/>
    <w:qFormat/>
    <w:rPr>
      <w:rFonts w:ascii="Symbol" w:hAnsi="Symbol" w:cs="OpenSymbol"/>
    </w:rPr>
  </w:style>
  <w:style w:type="character" w:styleId="WW8Num17z1" w:customStyle="1">
    <w:name w:val="WW8Num17z1"/>
    <w:qFormat/>
    <w:rPr>
      <w:rFonts w:ascii="OpenSymbol" w:hAnsi="OpenSymbol" w:cs="OpenSymbol"/>
    </w:rPr>
  </w:style>
  <w:style w:type="character" w:styleId="WW8Num18z0" w:customStyle="1">
    <w:name w:val="WW8Num18z0"/>
    <w:qFormat/>
    <w:rPr>
      <w:rFonts w:ascii="Symbol" w:hAnsi="Symbol" w:cs="OpenSymbol"/>
    </w:rPr>
  </w:style>
  <w:style w:type="character" w:styleId="WW8Num18z1" w:customStyle="1">
    <w:name w:val="WW8Num18z1"/>
    <w:qFormat/>
    <w:rPr>
      <w:rFonts w:ascii="OpenSymbol" w:hAnsi="OpenSymbol" w:cs="OpenSymbol"/>
    </w:rPr>
  </w:style>
  <w:style w:type="character" w:styleId="WW8Num19z0" w:customStyle="1">
    <w:name w:val="WW8Num19z0"/>
    <w:qFormat/>
    <w:rPr>
      <w:rFonts w:ascii="Symbol" w:hAnsi="Symbol" w:cs="OpenSymbol"/>
    </w:rPr>
  </w:style>
  <w:style w:type="character" w:styleId="WW8Num19z1" w:customStyle="1">
    <w:name w:val="WW8Num19z1"/>
    <w:qFormat/>
    <w:rPr>
      <w:rFonts w:ascii="OpenSymbol" w:hAnsi="OpenSymbol" w:cs="OpenSymbol"/>
    </w:rPr>
  </w:style>
  <w:style w:type="character" w:styleId="WW8Num20z0" w:customStyle="1">
    <w:name w:val="WW8Num20z0"/>
    <w:qFormat/>
    <w:rPr>
      <w:rFonts w:ascii="Symbol" w:hAnsi="Symbol" w:cs="OpenSymbol"/>
    </w:rPr>
  </w:style>
  <w:style w:type="character" w:styleId="WW8Num20z1" w:customStyle="1">
    <w:name w:val="WW8Num20z1"/>
    <w:qFormat/>
    <w:rPr>
      <w:rFonts w:ascii="OpenSymbol" w:hAnsi="OpenSymbol" w:cs="OpenSymbol"/>
    </w:rPr>
  </w:style>
  <w:style w:type="character" w:styleId="WW8Num21z0" w:customStyle="1">
    <w:name w:val="WW8Num21z0"/>
    <w:qFormat/>
    <w:rPr>
      <w:rFonts w:ascii="Symbol" w:hAnsi="Symbol" w:cs="OpenSymbol"/>
    </w:rPr>
  </w:style>
  <w:style w:type="character" w:styleId="WW8Num21z1" w:customStyle="1">
    <w:name w:val="WW8Num21z1"/>
    <w:qFormat/>
    <w:rPr>
      <w:rFonts w:ascii="OpenSymbol" w:hAnsi="OpenSymbol" w:cs="OpenSymbol"/>
    </w:rPr>
  </w:style>
  <w:style w:type="character" w:styleId="WW8Num22z0" w:customStyle="1">
    <w:name w:val="WW8Num22z0"/>
    <w:qFormat/>
    <w:rPr>
      <w:rFonts w:ascii="Symbol" w:hAnsi="Symbol" w:cs="OpenSymbol"/>
    </w:rPr>
  </w:style>
  <w:style w:type="character" w:styleId="WW8Num22z1" w:customStyle="1">
    <w:name w:val="WW8Num22z1"/>
    <w:qFormat/>
    <w:rPr>
      <w:rFonts w:ascii="OpenSymbol" w:hAnsi="OpenSymbol" w:cs="OpenSymbol"/>
    </w:rPr>
  </w:style>
  <w:style w:type="character" w:styleId="WW8Num23z0" w:customStyle="1">
    <w:name w:val="WW8Num23z0"/>
    <w:qFormat/>
    <w:rPr>
      <w:rFonts w:ascii="Symbol" w:hAnsi="Symbol" w:cs="OpenSymbol"/>
    </w:rPr>
  </w:style>
  <w:style w:type="character" w:styleId="WW8Num23z1" w:customStyle="1">
    <w:name w:val="WW8Num23z1"/>
    <w:qFormat/>
    <w:rPr>
      <w:rFonts w:ascii="OpenSymbol" w:hAnsi="OpenSymbol" w:cs="OpenSymbol"/>
    </w:rPr>
  </w:style>
  <w:style w:type="character" w:styleId="WW8Num24z0" w:customStyle="1">
    <w:name w:val="WW8Num24z0"/>
    <w:qFormat/>
    <w:rPr>
      <w:rFonts w:ascii="Symbol" w:hAnsi="Symbol" w:cs="OpenSymbol"/>
    </w:rPr>
  </w:style>
  <w:style w:type="character" w:styleId="WW8Num24z1" w:customStyle="1">
    <w:name w:val="WW8Num24z1"/>
    <w:qFormat/>
    <w:rPr>
      <w:rFonts w:ascii="OpenSymbol" w:hAnsi="OpenSymbol" w:cs="OpenSymbol"/>
    </w:rPr>
  </w:style>
  <w:style w:type="character" w:styleId="WW8Num25z0" w:customStyle="1">
    <w:name w:val="WW8Num25z0"/>
    <w:qFormat/>
    <w:rPr>
      <w:rFonts w:ascii="Symbol" w:hAnsi="Symbol" w:cs="OpenSymbol"/>
    </w:rPr>
  </w:style>
  <w:style w:type="character" w:styleId="WW8Num25z1" w:customStyle="1">
    <w:name w:val="WW8Num25z1"/>
    <w:qFormat/>
    <w:rPr>
      <w:rFonts w:ascii="OpenSymbol" w:hAnsi="OpenSymbol" w:cs="OpenSymbol"/>
    </w:rPr>
  </w:style>
  <w:style w:type="character" w:styleId="WW8Num26z0" w:customStyle="1">
    <w:name w:val="WW8Num26z0"/>
    <w:qFormat/>
    <w:rPr>
      <w:rFonts w:ascii="Symbol" w:hAnsi="Symbol" w:cs="OpenSymbol"/>
    </w:rPr>
  </w:style>
  <w:style w:type="character" w:styleId="WW8Num26z1" w:customStyle="1">
    <w:name w:val="WW8Num26z1"/>
    <w:qFormat/>
    <w:rPr>
      <w:rFonts w:ascii="OpenSymbol" w:hAnsi="OpenSymbol" w:cs="OpenSymbol"/>
    </w:rPr>
  </w:style>
  <w:style w:type="character" w:styleId="WW8Num27z0" w:customStyle="1">
    <w:name w:val="WW8Num27z0"/>
    <w:qFormat/>
    <w:rPr>
      <w:rFonts w:ascii="Symbol" w:hAnsi="Symbol" w:cs="OpenSymbol"/>
    </w:rPr>
  </w:style>
  <w:style w:type="character" w:styleId="WW8Num27z1" w:customStyle="1">
    <w:name w:val="WW8Num27z1"/>
    <w:qFormat/>
    <w:rPr>
      <w:rFonts w:ascii="OpenSymbol" w:hAnsi="OpenSymbol" w:cs="OpenSymbol"/>
    </w:rPr>
  </w:style>
  <w:style w:type="character" w:styleId="WW8Num28z0" w:customStyle="1">
    <w:name w:val="WW8Num28z0"/>
    <w:qFormat/>
    <w:rPr>
      <w:rFonts w:ascii="Symbol" w:hAnsi="Symbol" w:cs="OpenSymbol"/>
    </w:rPr>
  </w:style>
  <w:style w:type="character" w:styleId="WW8Num28z1" w:customStyle="1">
    <w:name w:val="WW8Num28z1"/>
    <w:qFormat/>
    <w:rPr>
      <w:rFonts w:ascii="OpenSymbol" w:hAnsi="OpenSymbol" w:cs="OpenSymbol"/>
    </w:rPr>
  </w:style>
  <w:style w:type="character" w:styleId="WW8Num29z0" w:customStyle="1">
    <w:name w:val="WW8Num29z0"/>
    <w:qFormat/>
    <w:rPr>
      <w:rFonts w:ascii="Symbol" w:hAnsi="Symbol" w:cs="OpenSymbol"/>
    </w:rPr>
  </w:style>
  <w:style w:type="character" w:styleId="WW8Num29z1" w:customStyle="1">
    <w:name w:val="WW8Num29z1"/>
    <w:qFormat/>
    <w:rPr>
      <w:rFonts w:ascii="OpenSymbol" w:hAnsi="OpenSymbol" w:cs="OpenSymbol"/>
    </w:rPr>
  </w:style>
  <w:style w:type="character" w:styleId="WW8Num30z0" w:customStyle="1">
    <w:name w:val="WW8Num30z0"/>
    <w:qFormat/>
    <w:rPr>
      <w:rFonts w:ascii="Symbol" w:hAnsi="Symbol" w:cs="OpenSymbol"/>
    </w:rPr>
  </w:style>
  <w:style w:type="character" w:styleId="WW8Num30z1" w:customStyle="1">
    <w:name w:val="WW8Num30z1"/>
    <w:qFormat/>
    <w:rPr>
      <w:rFonts w:ascii="OpenSymbol" w:hAnsi="OpenSymbol" w:cs="OpenSymbol"/>
    </w:rPr>
  </w:style>
  <w:style w:type="character" w:styleId="WW8Num31z0" w:customStyle="1">
    <w:name w:val="WW8Num31z0"/>
    <w:qFormat/>
    <w:rPr>
      <w:rFonts w:ascii="Symbol" w:hAnsi="Symbol" w:cs="OpenSymbol"/>
    </w:rPr>
  </w:style>
  <w:style w:type="character" w:styleId="WW8Num31z1" w:customStyle="1">
    <w:name w:val="WW8Num31z1"/>
    <w:qFormat/>
    <w:rPr>
      <w:rFonts w:ascii="OpenSymbol" w:hAnsi="OpenSymbol" w:cs="OpenSymbol"/>
    </w:rPr>
  </w:style>
  <w:style w:type="character" w:styleId="WW8Num32z0" w:customStyle="1">
    <w:name w:val="WW8Num32z0"/>
    <w:qFormat/>
    <w:rPr>
      <w:rFonts w:ascii="Symbol" w:hAnsi="Symbol" w:cs="OpenSymbol"/>
    </w:rPr>
  </w:style>
  <w:style w:type="character" w:styleId="WW8Num32z1" w:customStyle="1">
    <w:name w:val="WW8Num32z1"/>
    <w:qFormat/>
    <w:rPr>
      <w:rFonts w:ascii="OpenSymbol" w:hAnsi="OpenSymbol" w:cs="OpenSymbol"/>
    </w:rPr>
  </w:style>
  <w:style w:type="character" w:styleId="WW8Num33z0" w:customStyle="1">
    <w:name w:val="WW8Num33z0"/>
    <w:qFormat/>
    <w:rPr>
      <w:rFonts w:ascii="Symbol" w:hAnsi="Symbol" w:cs="OpenSymbol"/>
    </w:rPr>
  </w:style>
  <w:style w:type="character" w:styleId="WW8Num33z1" w:customStyle="1">
    <w:name w:val="WW8Num33z1"/>
    <w:qFormat/>
    <w:rPr>
      <w:rFonts w:ascii="OpenSymbol" w:hAnsi="OpenSymbol" w:cs="OpenSymbol"/>
    </w:rPr>
  </w:style>
  <w:style w:type="character" w:styleId="WW8Num34z0" w:customStyle="1">
    <w:name w:val="WW8Num34z0"/>
    <w:qFormat/>
    <w:rPr>
      <w:rFonts w:ascii="Symbol" w:hAnsi="Symbol" w:cs="OpenSymbol"/>
    </w:rPr>
  </w:style>
  <w:style w:type="character" w:styleId="WW8Num34z1" w:customStyle="1">
    <w:name w:val="WW8Num34z1"/>
    <w:qFormat/>
    <w:rPr>
      <w:rFonts w:ascii="OpenSymbol" w:hAnsi="OpenSymbol" w:cs="OpenSymbol"/>
    </w:rPr>
  </w:style>
  <w:style w:type="character" w:styleId="WW8Num35z0" w:customStyle="1">
    <w:name w:val="WW8Num35z0"/>
    <w:qFormat/>
    <w:rPr>
      <w:rFonts w:ascii="Symbol" w:hAnsi="Symbol" w:cs="OpenSymbol"/>
    </w:rPr>
  </w:style>
  <w:style w:type="character" w:styleId="WW8Num35z1" w:customStyle="1">
    <w:name w:val="WW8Num35z1"/>
    <w:qFormat/>
    <w:rPr>
      <w:rFonts w:ascii="OpenSymbol" w:hAnsi="OpenSymbol" w:cs="OpenSymbol"/>
    </w:rPr>
  </w:style>
  <w:style w:type="character" w:styleId="WW8Num36z0" w:customStyle="1">
    <w:name w:val="WW8Num36z0"/>
    <w:qFormat/>
    <w:rPr>
      <w:rFonts w:ascii="Symbol" w:hAnsi="Symbol" w:cs="OpenSymbol"/>
    </w:rPr>
  </w:style>
  <w:style w:type="character" w:styleId="WW8Num36z1" w:customStyle="1">
    <w:name w:val="WW8Num36z1"/>
    <w:qFormat/>
    <w:rPr>
      <w:rFonts w:ascii="OpenSymbol" w:hAnsi="OpenSymbol" w:cs="OpenSymbol"/>
    </w:rPr>
  </w:style>
  <w:style w:type="character" w:styleId="WW8Num37z0" w:customStyle="1">
    <w:name w:val="WW8Num37z0"/>
    <w:qFormat/>
    <w:rPr>
      <w:rFonts w:ascii="Symbol" w:hAnsi="Symbol" w:cs="OpenSymbol"/>
    </w:rPr>
  </w:style>
  <w:style w:type="character" w:styleId="WW8Num37z1" w:customStyle="1">
    <w:name w:val="WW8Num37z1"/>
    <w:qFormat/>
    <w:rPr>
      <w:rFonts w:ascii="OpenSymbol" w:hAnsi="OpenSymbol" w:cs="OpenSymbol"/>
    </w:rPr>
  </w:style>
  <w:style w:type="character" w:styleId="WW8Num38z0" w:customStyle="1">
    <w:name w:val="WW8Num38z0"/>
    <w:qFormat/>
    <w:rPr>
      <w:rFonts w:ascii="Symbol" w:hAnsi="Symbol" w:cs="OpenSymbol"/>
    </w:rPr>
  </w:style>
  <w:style w:type="character" w:styleId="WW8Num38z1" w:customStyle="1">
    <w:name w:val="WW8Num38z1"/>
    <w:qFormat/>
    <w:rPr>
      <w:rFonts w:ascii="OpenSymbol" w:hAnsi="OpenSymbol" w:cs="OpenSymbol"/>
    </w:rPr>
  </w:style>
  <w:style w:type="character" w:styleId="WW8Num39z0" w:customStyle="1">
    <w:name w:val="WW8Num39z0"/>
    <w:qFormat/>
    <w:rPr>
      <w:rFonts w:ascii="Symbol" w:hAnsi="Symbol" w:cs="OpenSymbol"/>
    </w:rPr>
  </w:style>
  <w:style w:type="character" w:styleId="WW8Num39z1" w:customStyle="1">
    <w:name w:val="WW8Num39z1"/>
    <w:qFormat/>
    <w:rPr>
      <w:rFonts w:ascii="OpenSymbol" w:hAnsi="OpenSymbol" w:cs="OpenSymbol"/>
    </w:rPr>
  </w:style>
  <w:style w:type="character" w:styleId="WW8Num40z0" w:customStyle="1">
    <w:name w:val="WW8Num40z0"/>
    <w:qFormat/>
    <w:rPr>
      <w:rFonts w:ascii="Symbol" w:hAnsi="Symbol" w:cs="OpenSymbol"/>
    </w:rPr>
  </w:style>
  <w:style w:type="character" w:styleId="WW8Num40z1" w:customStyle="1">
    <w:name w:val="WW8Num40z1"/>
    <w:qFormat/>
    <w:rPr>
      <w:rFonts w:ascii="OpenSymbol" w:hAnsi="OpenSymbol" w:cs="OpenSymbol"/>
    </w:rPr>
  </w:style>
  <w:style w:type="character" w:styleId="WW8Num9z2" w:customStyle="1">
    <w:name w:val="WW8Num9z2"/>
    <w:qFormat/>
    <w:rPr>
      <w:rFonts w:ascii="Liberation Serif" w:hAnsi="Liberation Serif" w:cs="Liberation Serif"/>
    </w:rPr>
  </w:style>
  <w:style w:type="character" w:styleId="WW8Num10z2" w:customStyle="1">
    <w:name w:val="WW8Num10z2"/>
    <w:qFormat/>
    <w:rPr>
      <w:rFonts w:ascii="Liberation Serif" w:hAnsi="Liberation Serif" w:cs="Liberation Serif"/>
    </w:rPr>
  </w:style>
  <w:style w:type="character" w:styleId="WW8Num13z2" w:customStyle="1">
    <w:name w:val="WW8Num13z2"/>
    <w:qFormat/>
    <w:rPr>
      <w:rFonts w:ascii="Liberation Serif" w:hAnsi="Liberation Serif" w:cs="Liberation Serif"/>
    </w:rPr>
  </w:style>
  <w:style w:type="character" w:styleId="WW8Num15z3" w:customStyle="1">
    <w:name w:val="WW8Num15z3"/>
    <w:qFormat/>
    <w:rPr>
      <w:rFonts w:ascii="Liberation Serif" w:hAnsi="Liberation Serif" w:cs="Liberation Serif"/>
    </w:rPr>
  </w:style>
  <w:style w:type="character" w:styleId="WW8Num16z2" w:customStyle="1">
    <w:name w:val="WW8Num16z2"/>
    <w:qFormat/>
    <w:rPr>
      <w:rFonts w:ascii="Liberation Serif" w:hAnsi="Liberation Serif" w:cs="Liberation Serif"/>
    </w:rPr>
  </w:style>
  <w:style w:type="character" w:styleId="WW8Num21z2" w:customStyle="1">
    <w:name w:val="WW8Num21z2"/>
    <w:qFormat/>
    <w:rPr>
      <w:rFonts w:ascii="Liberation Serif" w:hAnsi="Liberation Serif" w:cs="Liberation Serif"/>
    </w:rPr>
  </w:style>
  <w:style w:type="character" w:styleId="WW8Num22z2" w:customStyle="1">
    <w:name w:val="WW8Num22z2"/>
    <w:qFormat/>
    <w:rPr>
      <w:rFonts w:ascii="Liberation Serif" w:hAnsi="Liberation Serif" w:cs="Liberation Serif"/>
    </w:rPr>
  </w:style>
  <w:style w:type="character" w:styleId="WW8Num26z2" w:customStyle="1">
    <w:name w:val="WW8Num26z2"/>
    <w:qFormat/>
    <w:rPr>
      <w:rFonts w:ascii="Liberation Serif" w:hAnsi="Liberation Serif" w:cs="Liberation Serif"/>
    </w:rPr>
  </w:style>
  <w:style w:type="character" w:styleId="WW8Num27z2" w:customStyle="1">
    <w:name w:val="WW8Num27z2"/>
    <w:qFormat/>
    <w:rPr>
      <w:rFonts w:ascii="Liberation Serif" w:hAnsi="Liberation Serif" w:cs="Liberation Serif"/>
    </w:rPr>
  </w:style>
  <w:style w:type="character" w:styleId="WW8Num33z2" w:customStyle="1">
    <w:name w:val="WW8Num33z2"/>
    <w:qFormat/>
    <w:rPr>
      <w:rFonts w:ascii="Liberation Serif" w:hAnsi="Liberation Serif" w:cs="Liberation Serif"/>
    </w:rPr>
  </w:style>
  <w:style w:type="character" w:styleId="WW8Num41z0" w:customStyle="1">
    <w:name w:val="WW8Num41z0"/>
    <w:qFormat/>
    <w:rPr>
      <w:rFonts w:ascii="Arial Narrow" w:hAnsi="Arial Narrow" w:eastAsia="Arial" w:cs="Arial"/>
      <w:sz w:val="22"/>
      <w:szCs w:val="22"/>
    </w:rPr>
  </w:style>
  <w:style w:type="character" w:styleId="WW8Num42z0" w:customStyle="1">
    <w:name w:val="WW8Num42z0"/>
    <w:qFormat/>
    <w:rPr>
      <w:sz w:val="22"/>
    </w:rPr>
  </w:style>
  <w:style w:type="character" w:styleId="WW8Num43z0" w:customStyle="1">
    <w:name w:val="WW8Num43z0"/>
    <w:qFormat/>
    <w:rPr>
      <w:rFonts w:ascii="Arial Narrow" w:hAnsi="Arial Narrow" w:eastAsia="Arial" w:cs="Arial"/>
      <w:sz w:val="22"/>
      <w:szCs w:val="22"/>
    </w:rPr>
  </w:style>
  <w:style w:type="character" w:styleId="WW8Num44z0" w:customStyle="1">
    <w:name w:val="WW8Num44z0"/>
    <w:qFormat/>
    <w:rPr>
      <w:rFonts w:ascii="Symbol" w:hAnsi="Symbol" w:cs="OpenSymbol"/>
    </w:rPr>
  </w:style>
  <w:style w:type="character" w:styleId="WW8Num44z1" w:customStyle="1">
    <w:name w:val="WW8Num44z1"/>
    <w:qFormat/>
    <w:rPr>
      <w:rFonts w:ascii="OpenSymbol" w:hAnsi="OpenSymbol" w:cs="OpenSymbol"/>
    </w:rPr>
  </w:style>
  <w:style w:type="character" w:styleId="WW8Num46z0" w:customStyle="1">
    <w:name w:val="WW8Num46z0"/>
    <w:qFormat/>
    <w:rPr>
      <w:rFonts w:ascii="Symbol" w:hAnsi="Symbol" w:cs="OpenSymbol"/>
    </w:rPr>
  </w:style>
  <w:style w:type="character" w:styleId="WW8Num46z1" w:customStyle="1">
    <w:name w:val="WW8Num46z1"/>
    <w:qFormat/>
    <w:rPr>
      <w:rFonts w:ascii="OpenSymbol" w:hAnsi="OpenSymbol" w:cs="OpenSymbol"/>
    </w:rPr>
  </w:style>
  <w:style w:type="character" w:styleId="WW8Num47z0" w:customStyle="1">
    <w:name w:val="WW8Num47z0"/>
    <w:qFormat/>
    <w:rPr>
      <w:rFonts w:ascii="Symbol" w:hAnsi="Symbol" w:cs="OpenSymbol"/>
    </w:rPr>
  </w:style>
  <w:style w:type="character" w:styleId="WW8Num47z1" w:customStyle="1">
    <w:name w:val="WW8Num47z1"/>
    <w:qFormat/>
    <w:rPr>
      <w:rFonts w:ascii="OpenSymbol" w:hAnsi="OpenSymbol" w:cs="OpenSymbol"/>
    </w:rPr>
  </w:style>
  <w:style w:type="character" w:styleId="WW8Num48z0" w:customStyle="1">
    <w:name w:val="WW8Num48z0"/>
    <w:qFormat/>
    <w:rPr>
      <w:rFonts w:ascii="Symbol" w:hAnsi="Symbol" w:cs="OpenSymbol"/>
    </w:rPr>
  </w:style>
  <w:style w:type="character" w:styleId="WW8Num48z1" w:customStyle="1">
    <w:name w:val="WW8Num48z1"/>
    <w:qFormat/>
    <w:rPr>
      <w:rFonts w:ascii="OpenSymbol" w:hAnsi="OpenSymbol" w:cs="OpenSymbol"/>
    </w:rPr>
  </w:style>
  <w:style w:type="character" w:styleId="WW8Num49z0" w:customStyle="1">
    <w:name w:val="WW8Num49z0"/>
    <w:qFormat/>
    <w:rPr>
      <w:rFonts w:ascii="Symbol" w:hAnsi="Symbol" w:cs="OpenSymbol"/>
    </w:rPr>
  </w:style>
  <w:style w:type="character" w:styleId="WW8Num49z1" w:customStyle="1">
    <w:name w:val="WW8Num49z1"/>
    <w:qFormat/>
    <w:rPr>
      <w:rFonts w:ascii="OpenSymbol" w:hAnsi="OpenSymbol" w:cs="OpenSymbol"/>
    </w:rPr>
  </w:style>
  <w:style w:type="character" w:styleId="WW8Num50z0" w:customStyle="1">
    <w:name w:val="WW8Num50z0"/>
    <w:qFormat/>
    <w:rPr>
      <w:rFonts w:ascii="Symbol" w:hAnsi="Symbol" w:cs="OpenSymbol"/>
    </w:rPr>
  </w:style>
  <w:style w:type="character" w:styleId="WW8Num50z1" w:customStyle="1">
    <w:name w:val="WW8Num50z1"/>
    <w:qFormat/>
    <w:rPr>
      <w:rFonts w:ascii="OpenSymbol" w:hAnsi="OpenSymbol" w:cs="OpenSymbol"/>
    </w:rPr>
  </w:style>
  <w:style w:type="character" w:styleId="WW8Num51z0" w:customStyle="1">
    <w:name w:val="WW8Num51z0"/>
    <w:qFormat/>
    <w:rPr>
      <w:rFonts w:ascii="Calibri" w:hAnsi="Calibri" w:cs="Calibri"/>
      <w:b w:val="false"/>
      <w:bCs w:val="false"/>
      <w:spacing w:val="1"/>
      <w:sz w:val="22"/>
      <w:szCs w:val="22"/>
    </w:rPr>
  </w:style>
  <w:style w:type="character" w:styleId="WW8Num51z1" w:customStyle="1">
    <w:name w:val="WW8Num51z1"/>
    <w:qFormat/>
    <w:rPr>
      <w:rFonts w:ascii="Calibri" w:hAnsi="Calibri" w:cs="Calibri"/>
      <w:b w:val="false"/>
      <w:bCs w:val="false"/>
      <w:spacing w:val="-1"/>
      <w:sz w:val="22"/>
      <w:szCs w:val="22"/>
    </w:rPr>
  </w:style>
  <w:style w:type="character" w:styleId="WW8Num51z2" w:customStyle="1">
    <w:name w:val="WW8Num51z2"/>
    <w:qFormat/>
    <w:rPr>
      <w:rFonts w:ascii="Liberation Serif" w:hAnsi="Liberation Serif" w:cs="Liberation Serif"/>
    </w:rPr>
  </w:style>
  <w:style w:type="character" w:styleId="WW8Num52z0" w:customStyle="1">
    <w:name w:val="WW8Num52z0"/>
    <w:qFormat/>
    <w:rPr>
      <w:rFonts w:ascii="Symbol" w:hAnsi="Symbol" w:cs="OpenSymbol"/>
    </w:rPr>
  </w:style>
  <w:style w:type="character" w:styleId="WW8Num57z0" w:customStyle="1">
    <w:name w:val="WW8Num57z0"/>
    <w:qFormat/>
    <w:rPr>
      <w:rFonts w:ascii="Symbol" w:hAnsi="Symbol" w:cs="OpenSymbol"/>
    </w:rPr>
  </w:style>
  <w:style w:type="character" w:styleId="WW8Num57z1" w:customStyle="1">
    <w:name w:val="WW8Num57z1"/>
    <w:qFormat/>
    <w:rPr>
      <w:rFonts w:ascii="OpenSymbol" w:hAnsi="OpenSymbol" w:cs="OpenSymbol"/>
    </w:rPr>
  </w:style>
  <w:style w:type="character" w:styleId="WW8Num58z0" w:customStyle="1">
    <w:name w:val="WW8Num58z0"/>
    <w:qFormat/>
    <w:rPr>
      <w:rFonts w:ascii="Symbol" w:hAnsi="Symbol" w:cs="OpenSymbol"/>
    </w:rPr>
  </w:style>
  <w:style w:type="character" w:styleId="WW8Num58z1" w:customStyle="1">
    <w:name w:val="WW8Num58z1"/>
    <w:qFormat/>
    <w:rPr>
      <w:rFonts w:ascii="OpenSymbol" w:hAnsi="OpenSymbol" w:cs="OpenSymbol"/>
    </w:rPr>
  </w:style>
  <w:style w:type="character" w:styleId="WW8Num1z0" w:customStyle="1">
    <w:name w:val="WW8Num1z0"/>
    <w:qFormat/>
    <w:rPr/>
  </w:style>
  <w:style w:type="character" w:styleId="WW8Num1z1" w:customStyle="1">
    <w:name w:val="WW8Num1z1"/>
    <w:qFormat/>
    <w:rPr/>
  </w:style>
  <w:style w:type="character" w:styleId="WW8Num1z2" w:customStyle="1">
    <w:name w:val="WW8Num1z2"/>
    <w:qFormat/>
    <w:rPr/>
  </w:style>
  <w:style w:type="character" w:styleId="WW8Num1z3" w:customStyle="1">
    <w:name w:val="WW8Num1z3"/>
    <w:qFormat/>
    <w:rPr/>
  </w:style>
  <w:style w:type="character" w:styleId="WW8Num1z4" w:customStyle="1">
    <w:name w:val="WW8Num1z4"/>
    <w:qFormat/>
    <w:rPr/>
  </w:style>
  <w:style w:type="character" w:styleId="WW8Num1z5" w:customStyle="1">
    <w:name w:val="WW8Num1z5"/>
    <w:qFormat/>
    <w:rPr/>
  </w:style>
  <w:style w:type="character" w:styleId="WW8Num1z6" w:customStyle="1">
    <w:name w:val="WW8Num1z6"/>
    <w:qFormat/>
    <w:rPr/>
  </w:style>
  <w:style w:type="character" w:styleId="WW8Num1z7" w:customStyle="1">
    <w:name w:val="WW8Num1z7"/>
    <w:qFormat/>
    <w:rPr/>
  </w:style>
  <w:style w:type="character" w:styleId="WW8Num1z8" w:customStyle="1">
    <w:name w:val="WW8Num1z8"/>
    <w:qFormat/>
    <w:rPr/>
  </w:style>
  <w:style w:type="character" w:styleId="WW8Num35z2" w:customStyle="1">
    <w:name w:val="WW8Num35z2"/>
    <w:qFormat/>
    <w:rPr/>
  </w:style>
  <w:style w:type="character" w:styleId="WW8Num35z3" w:customStyle="1">
    <w:name w:val="WW8Num35z3"/>
    <w:qFormat/>
    <w:rPr/>
  </w:style>
  <w:style w:type="character" w:styleId="WW8Num35z4" w:customStyle="1">
    <w:name w:val="WW8Num35z4"/>
    <w:qFormat/>
    <w:rPr/>
  </w:style>
  <w:style w:type="character" w:styleId="WW8Num35z5" w:customStyle="1">
    <w:name w:val="WW8Num35z5"/>
    <w:qFormat/>
    <w:rPr/>
  </w:style>
  <w:style w:type="character" w:styleId="WW8Num35z6" w:customStyle="1">
    <w:name w:val="WW8Num35z6"/>
    <w:qFormat/>
    <w:rPr/>
  </w:style>
  <w:style w:type="character" w:styleId="WW8Num35z7" w:customStyle="1">
    <w:name w:val="WW8Num35z7"/>
    <w:qFormat/>
    <w:rPr/>
  </w:style>
  <w:style w:type="character" w:styleId="WW8Num35z8" w:customStyle="1">
    <w:name w:val="WW8Num35z8"/>
    <w:qFormat/>
    <w:rPr/>
  </w:style>
  <w:style w:type="character" w:styleId="WW8Num45z0" w:customStyle="1">
    <w:name w:val="WW8Num45z0"/>
    <w:qFormat/>
    <w:rPr/>
  </w:style>
  <w:style w:type="character" w:styleId="WW8Num45z1" w:customStyle="1">
    <w:name w:val="WW8Num45z1"/>
    <w:qFormat/>
    <w:rPr/>
  </w:style>
  <w:style w:type="character" w:styleId="WW8Num45z2" w:customStyle="1">
    <w:name w:val="WW8Num45z2"/>
    <w:qFormat/>
    <w:rPr/>
  </w:style>
  <w:style w:type="character" w:styleId="WW8Num45z3" w:customStyle="1">
    <w:name w:val="WW8Num45z3"/>
    <w:qFormat/>
    <w:rPr/>
  </w:style>
  <w:style w:type="character" w:styleId="WW8Num45z4" w:customStyle="1">
    <w:name w:val="WW8Num45z4"/>
    <w:qFormat/>
    <w:rPr/>
  </w:style>
  <w:style w:type="character" w:styleId="WW8Num45z5" w:customStyle="1">
    <w:name w:val="WW8Num45z5"/>
    <w:qFormat/>
    <w:rPr/>
  </w:style>
  <w:style w:type="character" w:styleId="WW8Num45z6" w:customStyle="1">
    <w:name w:val="WW8Num45z6"/>
    <w:qFormat/>
    <w:rPr/>
  </w:style>
  <w:style w:type="character" w:styleId="WW8Num45z7" w:customStyle="1">
    <w:name w:val="WW8Num45z7"/>
    <w:qFormat/>
    <w:rPr/>
  </w:style>
  <w:style w:type="character" w:styleId="WW8Num45z8" w:customStyle="1">
    <w:name w:val="WW8Num45z8"/>
    <w:qFormat/>
    <w:rPr/>
  </w:style>
  <w:style w:type="character" w:styleId="WW8Num53z0" w:customStyle="1">
    <w:name w:val="WW8Num53z0"/>
    <w:qFormat/>
    <w:rPr/>
  </w:style>
  <w:style w:type="character" w:styleId="WW8Num53z1" w:customStyle="1">
    <w:name w:val="WW8Num53z1"/>
    <w:qFormat/>
    <w:rPr/>
  </w:style>
  <w:style w:type="character" w:styleId="WW8Num53z2" w:customStyle="1">
    <w:name w:val="WW8Num53z2"/>
    <w:qFormat/>
    <w:rPr/>
  </w:style>
  <w:style w:type="character" w:styleId="WW8Num53z3" w:customStyle="1">
    <w:name w:val="WW8Num53z3"/>
    <w:qFormat/>
    <w:rPr/>
  </w:style>
  <w:style w:type="character" w:styleId="WW8Num53z4" w:customStyle="1">
    <w:name w:val="WW8Num53z4"/>
    <w:qFormat/>
    <w:rPr/>
  </w:style>
  <w:style w:type="character" w:styleId="WW8Num53z5" w:customStyle="1">
    <w:name w:val="WW8Num53z5"/>
    <w:qFormat/>
    <w:rPr/>
  </w:style>
  <w:style w:type="character" w:styleId="WW8Num53z6" w:customStyle="1">
    <w:name w:val="WW8Num53z6"/>
    <w:qFormat/>
    <w:rPr/>
  </w:style>
  <w:style w:type="character" w:styleId="WW8Num53z7" w:customStyle="1">
    <w:name w:val="WW8Num53z7"/>
    <w:qFormat/>
    <w:rPr/>
  </w:style>
  <w:style w:type="character" w:styleId="WW8Num53z8" w:customStyle="1">
    <w:name w:val="WW8Num53z8"/>
    <w:qFormat/>
    <w:rPr/>
  </w:style>
  <w:style w:type="character" w:styleId="WW8Num54z0" w:customStyle="1">
    <w:name w:val="WW8Num54z0"/>
    <w:qFormat/>
    <w:rPr/>
  </w:style>
  <w:style w:type="character" w:styleId="WW8Num55z0" w:customStyle="1">
    <w:name w:val="WW8Num55z0"/>
    <w:qFormat/>
    <w:rPr/>
  </w:style>
  <w:style w:type="character" w:styleId="WW8Num55z1" w:customStyle="1">
    <w:name w:val="WW8Num55z1"/>
    <w:qFormat/>
    <w:rPr/>
  </w:style>
  <w:style w:type="character" w:styleId="WW8Num55z2" w:customStyle="1">
    <w:name w:val="WW8Num55z2"/>
    <w:qFormat/>
    <w:rPr/>
  </w:style>
  <w:style w:type="character" w:styleId="WW8Num55z3" w:customStyle="1">
    <w:name w:val="WW8Num55z3"/>
    <w:qFormat/>
    <w:rPr/>
  </w:style>
  <w:style w:type="character" w:styleId="WW8Num55z4" w:customStyle="1">
    <w:name w:val="WW8Num55z4"/>
    <w:qFormat/>
    <w:rPr/>
  </w:style>
  <w:style w:type="character" w:styleId="WW8Num55z5" w:customStyle="1">
    <w:name w:val="WW8Num55z5"/>
    <w:qFormat/>
    <w:rPr/>
  </w:style>
  <w:style w:type="character" w:styleId="WW8Num55z6" w:customStyle="1">
    <w:name w:val="WW8Num55z6"/>
    <w:qFormat/>
    <w:rPr/>
  </w:style>
  <w:style w:type="character" w:styleId="WW8Num55z7" w:customStyle="1">
    <w:name w:val="WW8Num55z7"/>
    <w:qFormat/>
    <w:rPr/>
  </w:style>
  <w:style w:type="character" w:styleId="WW8Num55z8" w:customStyle="1">
    <w:name w:val="WW8Num55z8"/>
    <w:qFormat/>
    <w:rPr/>
  </w:style>
  <w:style w:type="character" w:styleId="WW8Num56z0" w:customStyle="1">
    <w:name w:val="WW8Num56z0"/>
    <w:qFormat/>
    <w:rPr/>
  </w:style>
  <w:style w:type="character" w:styleId="WW8Num56z1" w:customStyle="1">
    <w:name w:val="WW8Num56z1"/>
    <w:qFormat/>
    <w:rPr/>
  </w:style>
  <w:style w:type="character" w:styleId="WW8Num56z2" w:customStyle="1">
    <w:name w:val="WW8Num56z2"/>
    <w:qFormat/>
    <w:rPr/>
  </w:style>
  <w:style w:type="character" w:styleId="WW8Num56z3" w:customStyle="1">
    <w:name w:val="WW8Num56z3"/>
    <w:qFormat/>
    <w:rPr/>
  </w:style>
  <w:style w:type="character" w:styleId="WW8Num56z4" w:customStyle="1">
    <w:name w:val="WW8Num56z4"/>
    <w:qFormat/>
    <w:rPr/>
  </w:style>
  <w:style w:type="character" w:styleId="WW8Num56z5" w:customStyle="1">
    <w:name w:val="WW8Num56z5"/>
    <w:qFormat/>
    <w:rPr/>
  </w:style>
  <w:style w:type="character" w:styleId="WW8Num56z6" w:customStyle="1">
    <w:name w:val="WW8Num56z6"/>
    <w:qFormat/>
    <w:rPr/>
  </w:style>
  <w:style w:type="character" w:styleId="WW8Num56z7" w:customStyle="1">
    <w:name w:val="WW8Num56z7"/>
    <w:qFormat/>
    <w:rPr/>
  </w:style>
  <w:style w:type="character" w:styleId="WW8Num56z8" w:customStyle="1">
    <w:name w:val="WW8Num56z8"/>
    <w:qFormat/>
    <w:rPr/>
  </w:style>
  <w:style w:type="character" w:styleId="WW8Num59z0" w:customStyle="1">
    <w:name w:val="WW8Num59z0"/>
    <w:qFormat/>
    <w:rPr/>
  </w:style>
  <w:style w:type="character" w:styleId="WW8Num59z1" w:customStyle="1">
    <w:name w:val="WW8Num59z1"/>
    <w:qFormat/>
    <w:rPr/>
  </w:style>
  <w:style w:type="character" w:styleId="WW8Num59z2" w:customStyle="1">
    <w:name w:val="WW8Num59z2"/>
    <w:qFormat/>
    <w:rPr/>
  </w:style>
  <w:style w:type="character" w:styleId="WW8Num59z3" w:customStyle="1">
    <w:name w:val="WW8Num59z3"/>
    <w:qFormat/>
    <w:rPr/>
  </w:style>
  <w:style w:type="character" w:styleId="WW8Num59z4" w:customStyle="1">
    <w:name w:val="WW8Num59z4"/>
    <w:qFormat/>
    <w:rPr/>
  </w:style>
  <w:style w:type="character" w:styleId="WW8Num59z5" w:customStyle="1">
    <w:name w:val="WW8Num59z5"/>
    <w:qFormat/>
    <w:rPr/>
  </w:style>
  <w:style w:type="character" w:styleId="WW8Num59z6" w:customStyle="1">
    <w:name w:val="WW8Num59z6"/>
    <w:qFormat/>
    <w:rPr/>
  </w:style>
  <w:style w:type="character" w:styleId="WW8Num59z7" w:customStyle="1">
    <w:name w:val="WW8Num59z7"/>
    <w:qFormat/>
    <w:rPr/>
  </w:style>
  <w:style w:type="character" w:styleId="WW8Num59z8" w:customStyle="1">
    <w:name w:val="WW8Num59z8"/>
    <w:qFormat/>
    <w:rPr/>
  </w:style>
  <w:style w:type="character" w:styleId="WW8Num52z2" w:customStyle="1">
    <w:name w:val="WW8Num52z2"/>
    <w:qFormat/>
    <w:rPr/>
  </w:style>
  <w:style w:type="character" w:styleId="WW8Num52z3" w:customStyle="1">
    <w:name w:val="WW8Num52z3"/>
    <w:qFormat/>
    <w:rPr/>
  </w:style>
  <w:style w:type="character" w:styleId="WW8Num52z4" w:customStyle="1">
    <w:name w:val="WW8Num52z4"/>
    <w:qFormat/>
    <w:rPr/>
  </w:style>
  <w:style w:type="character" w:styleId="WW8Num52z5" w:customStyle="1">
    <w:name w:val="WW8Num52z5"/>
    <w:qFormat/>
    <w:rPr/>
  </w:style>
  <w:style w:type="character" w:styleId="WW8Num52z6" w:customStyle="1">
    <w:name w:val="WW8Num52z6"/>
    <w:qFormat/>
    <w:rPr/>
  </w:style>
  <w:style w:type="character" w:styleId="WW8Num52z7" w:customStyle="1">
    <w:name w:val="WW8Num52z7"/>
    <w:qFormat/>
    <w:rPr/>
  </w:style>
  <w:style w:type="character" w:styleId="WW8Num52z8" w:customStyle="1">
    <w:name w:val="WW8Num52z8"/>
    <w:qFormat/>
    <w:rPr/>
  </w:style>
  <w:style w:type="character" w:styleId="WW8Num54z1" w:customStyle="1">
    <w:name w:val="WW8Num54z1"/>
    <w:qFormat/>
    <w:rPr/>
  </w:style>
  <w:style w:type="character" w:styleId="WW8Num54z2" w:customStyle="1">
    <w:name w:val="WW8Num54z2"/>
    <w:qFormat/>
    <w:rPr/>
  </w:style>
  <w:style w:type="character" w:styleId="WW8Num54z3" w:customStyle="1">
    <w:name w:val="WW8Num54z3"/>
    <w:qFormat/>
    <w:rPr/>
  </w:style>
  <w:style w:type="character" w:styleId="WW8Num54z4" w:customStyle="1">
    <w:name w:val="WW8Num54z4"/>
    <w:qFormat/>
    <w:rPr/>
  </w:style>
  <w:style w:type="character" w:styleId="WW8Num54z5" w:customStyle="1">
    <w:name w:val="WW8Num54z5"/>
    <w:qFormat/>
    <w:rPr/>
  </w:style>
  <w:style w:type="character" w:styleId="WW8Num54z6" w:customStyle="1">
    <w:name w:val="WW8Num54z6"/>
    <w:qFormat/>
    <w:rPr/>
  </w:style>
  <w:style w:type="character" w:styleId="WW8Num54z7" w:customStyle="1">
    <w:name w:val="WW8Num54z7"/>
    <w:qFormat/>
    <w:rPr/>
  </w:style>
  <w:style w:type="character" w:styleId="WW8Num54z8" w:customStyle="1">
    <w:name w:val="WW8Num54z8"/>
    <w:qFormat/>
    <w:rPr/>
  </w:style>
  <w:style w:type="character" w:styleId="WW8Num57z2" w:customStyle="1">
    <w:name w:val="WW8Num57z2"/>
    <w:qFormat/>
    <w:rPr/>
  </w:style>
  <w:style w:type="character" w:styleId="WW8Num57z3" w:customStyle="1">
    <w:name w:val="WW8Num57z3"/>
    <w:qFormat/>
    <w:rPr/>
  </w:style>
  <w:style w:type="character" w:styleId="WW8Num57z4" w:customStyle="1">
    <w:name w:val="WW8Num57z4"/>
    <w:qFormat/>
    <w:rPr/>
  </w:style>
  <w:style w:type="character" w:styleId="WW8Num57z5" w:customStyle="1">
    <w:name w:val="WW8Num57z5"/>
    <w:qFormat/>
    <w:rPr/>
  </w:style>
  <w:style w:type="character" w:styleId="WW8Num57z6" w:customStyle="1">
    <w:name w:val="WW8Num57z6"/>
    <w:qFormat/>
    <w:rPr/>
  </w:style>
  <w:style w:type="character" w:styleId="WW8Num57z7" w:customStyle="1">
    <w:name w:val="WW8Num57z7"/>
    <w:qFormat/>
    <w:rPr/>
  </w:style>
  <w:style w:type="character" w:styleId="WW8Num57z8" w:customStyle="1">
    <w:name w:val="WW8Num57z8"/>
    <w:qFormat/>
    <w:rPr/>
  </w:style>
  <w:style w:type="character" w:styleId="WW8Num36z2" w:customStyle="1">
    <w:name w:val="WW8Num36z2"/>
    <w:qFormat/>
    <w:rPr/>
  </w:style>
  <w:style w:type="character" w:styleId="WW8Num36z3" w:customStyle="1">
    <w:name w:val="WW8Num36z3"/>
    <w:qFormat/>
    <w:rPr/>
  </w:style>
  <w:style w:type="character" w:styleId="WW8Num36z4" w:customStyle="1">
    <w:name w:val="WW8Num36z4"/>
    <w:qFormat/>
    <w:rPr/>
  </w:style>
  <w:style w:type="character" w:styleId="WW8Num36z5" w:customStyle="1">
    <w:name w:val="WW8Num36z5"/>
    <w:qFormat/>
    <w:rPr/>
  </w:style>
  <w:style w:type="character" w:styleId="WW8Num36z6" w:customStyle="1">
    <w:name w:val="WW8Num36z6"/>
    <w:qFormat/>
    <w:rPr/>
  </w:style>
  <w:style w:type="character" w:styleId="WW8Num36z7" w:customStyle="1">
    <w:name w:val="WW8Num36z7"/>
    <w:qFormat/>
    <w:rPr/>
  </w:style>
  <w:style w:type="character" w:styleId="WW8Num36z8" w:customStyle="1">
    <w:name w:val="WW8Num36z8"/>
    <w:qFormat/>
    <w:rPr/>
  </w:style>
  <w:style w:type="character" w:styleId="WW8Num46z2" w:customStyle="1">
    <w:name w:val="WW8Num46z2"/>
    <w:qFormat/>
    <w:rPr/>
  </w:style>
  <w:style w:type="character" w:styleId="WW8Num46z3" w:customStyle="1">
    <w:name w:val="WW8Num46z3"/>
    <w:qFormat/>
    <w:rPr/>
  </w:style>
  <w:style w:type="character" w:styleId="WW8Num46z4" w:customStyle="1">
    <w:name w:val="WW8Num46z4"/>
    <w:qFormat/>
    <w:rPr/>
  </w:style>
  <w:style w:type="character" w:styleId="WW8Num46z5" w:customStyle="1">
    <w:name w:val="WW8Num46z5"/>
    <w:qFormat/>
    <w:rPr/>
  </w:style>
  <w:style w:type="character" w:styleId="WW8Num46z6" w:customStyle="1">
    <w:name w:val="WW8Num46z6"/>
    <w:qFormat/>
    <w:rPr/>
  </w:style>
  <w:style w:type="character" w:styleId="WW8Num46z7" w:customStyle="1">
    <w:name w:val="WW8Num46z7"/>
    <w:qFormat/>
    <w:rPr/>
  </w:style>
  <w:style w:type="character" w:styleId="WW8Num46z8" w:customStyle="1">
    <w:name w:val="WW8Num46z8"/>
    <w:qFormat/>
    <w:rPr/>
  </w:style>
  <w:style w:type="character" w:styleId="WW8Num52z1" w:customStyle="1">
    <w:name w:val="WW8Num52z1"/>
    <w:qFormat/>
    <w:rPr>
      <w:rFonts w:ascii="Calibri" w:hAnsi="Calibri" w:cs="Calibri"/>
      <w:b w:val="false"/>
      <w:bCs w:val="false"/>
      <w:spacing w:val="-1"/>
      <w:sz w:val="22"/>
      <w:szCs w:val="22"/>
    </w:rPr>
  </w:style>
  <w:style w:type="character" w:styleId="WW8Num34z2" w:customStyle="1">
    <w:name w:val="WW8Num34z2"/>
    <w:qFormat/>
    <w:rPr>
      <w:rFonts w:ascii="Liberation Serif" w:hAnsi="Liberation Serif" w:cs="Liberation Serif"/>
    </w:rPr>
  </w:style>
  <w:style w:type="character" w:styleId="WW8Num14z2" w:customStyle="1">
    <w:name w:val="WW8Num14z2"/>
    <w:qFormat/>
    <w:rPr>
      <w:rFonts w:ascii="Liberation Serif" w:hAnsi="Liberation Serif" w:cs="Liberation Serif"/>
    </w:rPr>
  </w:style>
  <w:style w:type="character" w:styleId="WW8Num16z3" w:customStyle="1">
    <w:name w:val="WW8Num16z3"/>
    <w:qFormat/>
    <w:rPr>
      <w:rFonts w:ascii="Liberation Serif" w:hAnsi="Liberation Serif" w:cs="Liberation Serif"/>
    </w:rPr>
  </w:style>
  <w:style w:type="character" w:styleId="WW8Num17z2" w:customStyle="1">
    <w:name w:val="WW8Num17z2"/>
    <w:qFormat/>
    <w:rPr>
      <w:rFonts w:ascii="Liberation Serif" w:hAnsi="Liberation Serif" w:cs="Liberation Serif"/>
    </w:rPr>
  </w:style>
  <w:style w:type="character" w:styleId="WW8Num23z2" w:customStyle="1">
    <w:name w:val="WW8Num23z2"/>
    <w:qFormat/>
    <w:rPr>
      <w:rFonts w:ascii="Liberation Serif" w:hAnsi="Liberation Serif" w:cs="Liberation Serif"/>
    </w:rPr>
  </w:style>
  <w:style w:type="character" w:styleId="WW8Num28z2" w:customStyle="1">
    <w:name w:val="WW8Num28z2"/>
    <w:qFormat/>
    <w:rPr>
      <w:rFonts w:ascii="Liberation Serif" w:hAnsi="Liberation Serif" w:cs="Liberation Serif"/>
    </w:rPr>
  </w:style>
  <w:style w:type="character" w:styleId="WW8Num25z3" w:customStyle="1">
    <w:name w:val="WW8Num25z3"/>
    <w:qFormat/>
    <w:rPr>
      <w:rFonts w:ascii="Liberation Serif" w:hAnsi="Liberation Serif" w:cs="Liberation Serif"/>
    </w:rPr>
  </w:style>
  <w:style w:type="character" w:styleId="Carpredefinitoparagrafo2" w:customStyle="1">
    <w:name w:val="Car. predefinito paragrafo2"/>
    <w:qFormat/>
    <w:rPr/>
  </w:style>
  <w:style w:type="character" w:styleId="WW8Num4z2" w:customStyle="1">
    <w:name w:val="WW8Num4z2"/>
    <w:qFormat/>
    <w:rPr>
      <w:rFonts w:ascii="Liberation Serif" w:hAnsi="Liberation Serif" w:cs="Liberation Serif"/>
    </w:rPr>
  </w:style>
  <w:style w:type="character" w:styleId="WW8Num7z2" w:customStyle="1">
    <w:name w:val="WW8Num7z2"/>
    <w:qFormat/>
    <w:rPr>
      <w:rFonts w:ascii="Liberation Serif" w:hAnsi="Liberation Serif" w:cs="Liberation Serif"/>
    </w:rPr>
  </w:style>
  <w:style w:type="character" w:styleId="WW8Num11z2" w:customStyle="1">
    <w:name w:val="WW8Num11z2"/>
    <w:qFormat/>
    <w:rPr>
      <w:rFonts w:ascii="Calibri" w:hAnsi="Calibri" w:cs="Calibri"/>
      <w:b w:val="false"/>
      <w:bCs w:val="false"/>
      <w:spacing w:val="-1"/>
      <w:sz w:val="22"/>
      <w:szCs w:val="22"/>
    </w:rPr>
  </w:style>
  <w:style w:type="character" w:styleId="WW8Num11z3" w:customStyle="1">
    <w:name w:val="WW8Num11z3"/>
    <w:qFormat/>
    <w:rPr>
      <w:rFonts w:ascii="Liberation Serif" w:hAnsi="Liberation Serif" w:cs="Liberation Serif"/>
    </w:rPr>
  </w:style>
  <w:style w:type="character" w:styleId="WW8Num30z3" w:customStyle="1">
    <w:name w:val="WW8Num30z3"/>
    <w:qFormat/>
    <w:rPr>
      <w:rFonts w:ascii="Liberation Serif" w:hAnsi="Liberation Serif" w:cs="Liberation Serif"/>
    </w:rPr>
  </w:style>
  <w:style w:type="character" w:styleId="WW8Num32z2" w:customStyle="1">
    <w:name w:val="WW8Num32z2"/>
    <w:qFormat/>
    <w:rPr>
      <w:rFonts w:ascii="Liberation Serif" w:hAnsi="Liberation Serif" w:cs="Liberation Serif"/>
    </w:rPr>
  </w:style>
  <w:style w:type="character" w:styleId="WW8Num38z2" w:customStyle="1">
    <w:name w:val="WW8Num38z2"/>
    <w:qFormat/>
    <w:rPr>
      <w:rFonts w:ascii="Liberation Serif" w:hAnsi="Liberation Serif" w:cs="Liberation Serif"/>
    </w:rPr>
  </w:style>
  <w:style w:type="character" w:styleId="WW8Num41z1" w:customStyle="1">
    <w:name w:val="WW8Num41z1"/>
    <w:qFormat/>
    <w:rPr>
      <w:rFonts w:ascii="Calibri" w:hAnsi="Calibri" w:cs="Calibri"/>
      <w:b w:val="false"/>
      <w:bCs w:val="false"/>
      <w:spacing w:val="-1"/>
      <w:sz w:val="22"/>
      <w:szCs w:val="22"/>
    </w:rPr>
  </w:style>
  <w:style w:type="character" w:styleId="WW8Num41z2" w:customStyle="1">
    <w:name w:val="WW8Num41z2"/>
    <w:qFormat/>
    <w:rPr>
      <w:rFonts w:ascii="Liberation Serif" w:hAnsi="Liberation Serif" w:cs="Liberation Serif"/>
    </w:rPr>
  </w:style>
  <w:style w:type="character" w:styleId="WW8Num42z1" w:customStyle="1">
    <w:name w:val="WW8Num42z1"/>
    <w:qFormat/>
    <w:rPr>
      <w:rFonts w:ascii="Calibri" w:hAnsi="Calibri" w:cs="Calibri"/>
      <w:b w:val="false"/>
      <w:bCs w:val="false"/>
      <w:spacing w:val="-1"/>
      <w:sz w:val="22"/>
      <w:szCs w:val="22"/>
    </w:rPr>
  </w:style>
  <w:style w:type="character" w:styleId="WW8Num42z2" w:customStyle="1">
    <w:name w:val="WW8Num42z2"/>
    <w:qFormat/>
    <w:rPr>
      <w:rFonts w:ascii="Liberation Serif" w:hAnsi="Liberation Serif" w:cs="Liberation Serif"/>
    </w:rPr>
  </w:style>
  <w:style w:type="character" w:styleId="WW8Num43z1" w:customStyle="1">
    <w:name w:val="WW8Num43z1"/>
    <w:qFormat/>
    <w:rPr>
      <w:rFonts w:ascii="Calibri" w:hAnsi="Calibri" w:cs="Calibri"/>
      <w:b w:val="false"/>
      <w:spacing w:val="-1"/>
      <w:sz w:val="22"/>
    </w:rPr>
  </w:style>
  <w:style w:type="character" w:styleId="WW8Num43z2" w:customStyle="1">
    <w:name w:val="WW8Num43z2"/>
    <w:qFormat/>
    <w:rPr>
      <w:rFonts w:ascii="Liberation Serif" w:hAnsi="Liberation Serif" w:cs="Liberation Serif"/>
    </w:rPr>
  </w:style>
  <w:style w:type="character" w:styleId="WW8Num47z3" w:customStyle="1">
    <w:name w:val="WW8Num47z3"/>
    <w:qFormat/>
    <w:rPr>
      <w:rFonts w:ascii="Liberation Serif" w:hAnsi="Liberation Serif" w:cs="Liberation Serif"/>
    </w:rPr>
  </w:style>
  <w:style w:type="character" w:styleId="WW8Num48z2" w:customStyle="1">
    <w:name w:val="WW8Num48z2"/>
    <w:qFormat/>
    <w:rPr>
      <w:rFonts w:ascii="Liberation Serif" w:hAnsi="Liberation Serif" w:cs="Liberation Serif"/>
    </w:rPr>
  </w:style>
  <w:style w:type="character" w:styleId="WW8Num60z0" w:customStyle="1">
    <w:name w:val="WW8Num60z0"/>
    <w:qFormat/>
    <w:rPr>
      <w:rFonts w:ascii="Calibri" w:hAnsi="Calibri" w:cs="Calibri"/>
      <w:b w:val="false"/>
      <w:bCs w:val="false"/>
      <w:spacing w:val="1"/>
      <w:sz w:val="22"/>
      <w:szCs w:val="22"/>
    </w:rPr>
  </w:style>
  <w:style w:type="character" w:styleId="WW8Num60z1" w:customStyle="1">
    <w:name w:val="WW8Num60z1"/>
    <w:qFormat/>
    <w:rPr>
      <w:rFonts w:ascii="Liberation Serif" w:hAnsi="Liberation Serif" w:cs="Liberation Serif"/>
    </w:rPr>
  </w:style>
  <w:style w:type="character" w:styleId="WW8Num61z0" w:customStyle="1">
    <w:name w:val="WW8Num61z0"/>
    <w:qFormat/>
    <w:rPr>
      <w:rFonts w:ascii="Calibri" w:hAnsi="Calibri" w:cs="Calibri"/>
      <w:b w:val="false"/>
      <w:bCs w:val="false"/>
      <w:spacing w:val="1"/>
      <w:sz w:val="22"/>
      <w:szCs w:val="22"/>
    </w:rPr>
  </w:style>
  <w:style w:type="character" w:styleId="WW8Num61z1" w:customStyle="1">
    <w:name w:val="WW8Num61z1"/>
    <w:qFormat/>
    <w:rPr>
      <w:rFonts w:ascii="Calibri" w:hAnsi="Calibri" w:cs="Calibri"/>
      <w:b w:val="false"/>
      <w:bCs w:val="false"/>
      <w:spacing w:val="-1"/>
      <w:sz w:val="22"/>
      <w:szCs w:val="22"/>
    </w:rPr>
  </w:style>
  <w:style w:type="character" w:styleId="WW8Num61z2" w:customStyle="1">
    <w:name w:val="WW8Num61z2"/>
    <w:qFormat/>
    <w:rPr>
      <w:rFonts w:ascii="Liberation Serif" w:hAnsi="Liberation Serif" w:cs="Liberation Serif"/>
    </w:rPr>
  </w:style>
  <w:style w:type="character" w:styleId="WW8Num62z0" w:customStyle="1">
    <w:name w:val="WW8Num62z0"/>
    <w:qFormat/>
    <w:rPr>
      <w:rFonts w:ascii="Calibri" w:hAnsi="Calibri" w:cs="Calibri"/>
      <w:b w:val="false"/>
      <w:bCs w:val="false"/>
      <w:spacing w:val="1"/>
      <w:sz w:val="22"/>
      <w:szCs w:val="22"/>
    </w:rPr>
  </w:style>
  <w:style w:type="character" w:styleId="WW8Num62z1" w:customStyle="1">
    <w:name w:val="WW8Num62z1"/>
    <w:qFormat/>
    <w:rPr>
      <w:rFonts w:ascii="Calibri" w:hAnsi="Calibri" w:cs="Calibri"/>
      <w:b w:val="false"/>
      <w:bCs w:val="false"/>
      <w:spacing w:val="-1"/>
      <w:sz w:val="22"/>
      <w:szCs w:val="22"/>
    </w:rPr>
  </w:style>
  <w:style w:type="character" w:styleId="WW8Num62z2" w:customStyle="1">
    <w:name w:val="WW8Num62z2"/>
    <w:qFormat/>
    <w:rPr>
      <w:rFonts w:ascii="Liberation Serif" w:hAnsi="Liberation Serif" w:cs="Liberation Serif"/>
    </w:rPr>
  </w:style>
  <w:style w:type="character" w:styleId="WW8Num63z0" w:customStyle="1">
    <w:name w:val="WW8Num63z0"/>
    <w:qFormat/>
    <w:rPr>
      <w:rFonts w:ascii="Symbol" w:hAnsi="Symbol" w:cs="Symbol"/>
      <w:color w:val="000000"/>
      <w:sz w:val="22"/>
      <w:szCs w:val="22"/>
    </w:rPr>
  </w:style>
  <w:style w:type="character" w:styleId="WW8Num64z0" w:customStyle="1">
    <w:name w:val="WW8Num64z0"/>
    <w:qFormat/>
    <w:rPr>
      <w:spacing w:val="-1"/>
    </w:rPr>
  </w:style>
  <w:style w:type="character" w:styleId="WW8Num65z0" w:customStyle="1">
    <w:name w:val="WW8Num65z0"/>
    <w:qFormat/>
    <w:rPr/>
  </w:style>
  <w:style w:type="character" w:styleId="WW8Num66z0" w:customStyle="1">
    <w:name w:val="WW8Num66z0"/>
    <w:qFormat/>
    <w:rPr>
      <w:rFonts w:ascii="Symbol" w:hAnsi="Symbol" w:cs="Symbol"/>
    </w:rPr>
  </w:style>
  <w:style w:type="character" w:styleId="WW8Num66z1" w:customStyle="1">
    <w:name w:val="WW8Num66z1"/>
    <w:qFormat/>
    <w:rPr>
      <w:rFonts w:ascii="Courier New" w:hAnsi="Courier New" w:cs="Courier New"/>
    </w:rPr>
  </w:style>
  <w:style w:type="character" w:styleId="WW8Num66z2" w:customStyle="1">
    <w:name w:val="WW8Num66z2"/>
    <w:qFormat/>
    <w:rPr>
      <w:rFonts w:ascii="Wingdings" w:hAnsi="Wingdings" w:cs="Wingdings"/>
    </w:rPr>
  </w:style>
  <w:style w:type="character" w:styleId="WW8Num67z0" w:customStyle="1">
    <w:name w:val="WW8Num67z0"/>
    <w:qFormat/>
    <w:rPr>
      <w:rFonts w:ascii="Courier New" w:hAnsi="Courier New" w:cs="Courier New"/>
    </w:rPr>
  </w:style>
  <w:style w:type="character" w:styleId="WW8Num68z0" w:customStyle="1">
    <w:name w:val="WW8Num68z0"/>
    <w:qFormat/>
    <w:rPr/>
  </w:style>
  <w:style w:type="character" w:styleId="WW8Num68z1" w:customStyle="1">
    <w:name w:val="WW8Num68z1"/>
    <w:qFormat/>
    <w:rPr/>
  </w:style>
  <w:style w:type="character" w:styleId="WW8Num68z2" w:customStyle="1">
    <w:name w:val="WW8Num68z2"/>
    <w:qFormat/>
    <w:rPr/>
  </w:style>
  <w:style w:type="character" w:styleId="WW8Num68z3" w:customStyle="1">
    <w:name w:val="WW8Num68z3"/>
    <w:qFormat/>
    <w:rPr/>
  </w:style>
  <w:style w:type="character" w:styleId="WW8Num68z4" w:customStyle="1">
    <w:name w:val="WW8Num68z4"/>
    <w:qFormat/>
    <w:rPr/>
  </w:style>
  <w:style w:type="character" w:styleId="WW8Num68z5" w:customStyle="1">
    <w:name w:val="WW8Num68z5"/>
    <w:qFormat/>
    <w:rPr/>
  </w:style>
  <w:style w:type="character" w:styleId="WW8Num68z6" w:customStyle="1">
    <w:name w:val="WW8Num68z6"/>
    <w:qFormat/>
    <w:rPr/>
  </w:style>
  <w:style w:type="character" w:styleId="WW8Num68z7" w:customStyle="1">
    <w:name w:val="WW8Num68z7"/>
    <w:qFormat/>
    <w:rPr/>
  </w:style>
  <w:style w:type="character" w:styleId="WW8Num68z8" w:customStyle="1">
    <w:name w:val="WW8Num68z8"/>
    <w:qFormat/>
    <w:rPr/>
  </w:style>
  <w:style w:type="character" w:styleId="WW8Num2z4" w:customStyle="1">
    <w:name w:val="WW8Num2z4"/>
    <w:qFormat/>
    <w:rPr/>
  </w:style>
  <w:style w:type="character" w:styleId="WW8Num2z5" w:customStyle="1">
    <w:name w:val="WW8Num2z5"/>
    <w:qFormat/>
    <w:rPr/>
  </w:style>
  <w:style w:type="character" w:styleId="WW8Num2z6" w:customStyle="1">
    <w:name w:val="WW8Num2z6"/>
    <w:qFormat/>
    <w:rPr/>
  </w:style>
  <w:style w:type="character" w:styleId="WW8Num2z7" w:customStyle="1">
    <w:name w:val="WW8Num2z7"/>
    <w:qFormat/>
    <w:rPr/>
  </w:style>
  <w:style w:type="character" w:styleId="WW8Num2z8" w:customStyle="1">
    <w:name w:val="WW8Num2z8"/>
    <w:qFormat/>
    <w:rPr/>
  </w:style>
  <w:style w:type="character" w:styleId="WW8Num3z2" w:customStyle="1">
    <w:name w:val="WW8Num3z2"/>
    <w:qFormat/>
    <w:rPr/>
  </w:style>
  <w:style w:type="character" w:styleId="WW8Num3z3" w:customStyle="1">
    <w:name w:val="WW8Num3z3"/>
    <w:qFormat/>
    <w:rPr/>
  </w:style>
  <w:style w:type="character" w:styleId="WW8Num3z4" w:customStyle="1">
    <w:name w:val="WW8Num3z4"/>
    <w:qFormat/>
    <w:rPr/>
  </w:style>
  <w:style w:type="character" w:styleId="WW8Num3z5" w:customStyle="1">
    <w:name w:val="WW8Num3z5"/>
    <w:qFormat/>
    <w:rPr/>
  </w:style>
  <w:style w:type="character" w:styleId="WW8Num3z6" w:customStyle="1">
    <w:name w:val="WW8Num3z6"/>
    <w:qFormat/>
    <w:rPr/>
  </w:style>
  <w:style w:type="character" w:styleId="WW8Num3z7" w:customStyle="1">
    <w:name w:val="WW8Num3z7"/>
    <w:qFormat/>
    <w:rPr/>
  </w:style>
  <w:style w:type="character" w:styleId="WW8Num3z8" w:customStyle="1">
    <w:name w:val="WW8Num3z8"/>
    <w:qFormat/>
    <w:rPr/>
  </w:style>
  <w:style w:type="character" w:styleId="WW8Num4z3" w:customStyle="1">
    <w:name w:val="WW8Num4z3"/>
    <w:qFormat/>
    <w:rPr/>
  </w:style>
  <w:style w:type="character" w:styleId="WW8Num4z4" w:customStyle="1">
    <w:name w:val="WW8Num4z4"/>
    <w:qFormat/>
    <w:rPr/>
  </w:style>
  <w:style w:type="character" w:styleId="WW8Num4z5" w:customStyle="1">
    <w:name w:val="WW8Num4z5"/>
    <w:qFormat/>
    <w:rPr/>
  </w:style>
  <w:style w:type="character" w:styleId="WW8Num4z6" w:customStyle="1">
    <w:name w:val="WW8Num4z6"/>
    <w:qFormat/>
    <w:rPr/>
  </w:style>
  <w:style w:type="character" w:styleId="WW8Num4z7" w:customStyle="1">
    <w:name w:val="WW8Num4z7"/>
    <w:qFormat/>
    <w:rPr/>
  </w:style>
  <w:style w:type="character" w:styleId="WW8Num4z8" w:customStyle="1">
    <w:name w:val="WW8Num4z8"/>
    <w:qFormat/>
    <w:rPr/>
  </w:style>
  <w:style w:type="character" w:styleId="WW8Num5z2" w:customStyle="1">
    <w:name w:val="WW8Num5z2"/>
    <w:qFormat/>
    <w:rPr/>
  </w:style>
  <w:style w:type="character" w:styleId="WW8Num5z3" w:customStyle="1">
    <w:name w:val="WW8Num5z3"/>
    <w:qFormat/>
    <w:rPr/>
  </w:style>
  <w:style w:type="character" w:styleId="WW8Num5z4" w:customStyle="1">
    <w:name w:val="WW8Num5z4"/>
    <w:qFormat/>
    <w:rPr/>
  </w:style>
  <w:style w:type="character" w:styleId="WW8Num5z5" w:customStyle="1">
    <w:name w:val="WW8Num5z5"/>
    <w:qFormat/>
    <w:rPr/>
  </w:style>
  <w:style w:type="character" w:styleId="WW8Num5z6" w:customStyle="1">
    <w:name w:val="WW8Num5z6"/>
    <w:qFormat/>
    <w:rPr/>
  </w:style>
  <w:style w:type="character" w:styleId="WW8Num5z7" w:customStyle="1">
    <w:name w:val="WW8Num5z7"/>
    <w:qFormat/>
    <w:rPr/>
  </w:style>
  <w:style w:type="character" w:styleId="WW8Num5z8" w:customStyle="1">
    <w:name w:val="WW8Num5z8"/>
    <w:qFormat/>
    <w:rPr/>
  </w:style>
  <w:style w:type="character" w:styleId="WW8Num6z2" w:customStyle="1">
    <w:name w:val="WW8Num6z2"/>
    <w:qFormat/>
    <w:rPr/>
  </w:style>
  <w:style w:type="character" w:styleId="WW8Num6z3" w:customStyle="1">
    <w:name w:val="WW8Num6z3"/>
    <w:qFormat/>
    <w:rPr/>
  </w:style>
  <w:style w:type="character" w:styleId="WW8Num6z4" w:customStyle="1">
    <w:name w:val="WW8Num6z4"/>
    <w:qFormat/>
    <w:rPr/>
  </w:style>
  <w:style w:type="character" w:styleId="WW8Num6z5" w:customStyle="1">
    <w:name w:val="WW8Num6z5"/>
    <w:qFormat/>
    <w:rPr/>
  </w:style>
  <w:style w:type="character" w:styleId="WW8Num6z6" w:customStyle="1">
    <w:name w:val="WW8Num6z6"/>
    <w:qFormat/>
    <w:rPr/>
  </w:style>
  <w:style w:type="character" w:styleId="WW8Num6z7" w:customStyle="1">
    <w:name w:val="WW8Num6z7"/>
    <w:qFormat/>
    <w:rPr/>
  </w:style>
  <w:style w:type="character" w:styleId="WW8Num6z8" w:customStyle="1">
    <w:name w:val="WW8Num6z8"/>
    <w:qFormat/>
    <w:rPr/>
  </w:style>
  <w:style w:type="character" w:styleId="WW8Num7z3" w:customStyle="1">
    <w:name w:val="WW8Num7z3"/>
    <w:qFormat/>
    <w:rPr/>
  </w:style>
  <w:style w:type="character" w:styleId="WW8Num7z4" w:customStyle="1">
    <w:name w:val="WW8Num7z4"/>
    <w:qFormat/>
    <w:rPr/>
  </w:style>
  <w:style w:type="character" w:styleId="WW8Num7z5" w:customStyle="1">
    <w:name w:val="WW8Num7z5"/>
    <w:qFormat/>
    <w:rPr/>
  </w:style>
  <w:style w:type="character" w:styleId="WW8Num7z6" w:customStyle="1">
    <w:name w:val="WW8Num7z6"/>
    <w:qFormat/>
    <w:rPr/>
  </w:style>
  <w:style w:type="character" w:styleId="WW8Num7z7" w:customStyle="1">
    <w:name w:val="WW8Num7z7"/>
    <w:qFormat/>
    <w:rPr/>
  </w:style>
  <w:style w:type="character" w:styleId="WW8Num7z8" w:customStyle="1">
    <w:name w:val="WW8Num7z8"/>
    <w:qFormat/>
    <w:rPr/>
  </w:style>
  <w:style w:type="character" w:styleId="WW8Num8z2" w:customStyle="1">
    <w:name w:val="WW8Num8z2"/>
    <w:qFormat/>
    <w:rPr/>
  </w:style>
  <w:style w:type="character" w:styleId="WW8Num8z3" w:customStyle="1">
    <w:name w:val="WW8Num8z3"/>
    <w:qFormat/>
    <w:rPr/>
  </w:style>
  <w:style w:type="character" w:styleId="WW8Num8z4" w:customStyle="1">
    <w:name w:val="WW8Num8z4"/>
    <w:qFormat/>
    <w:rPr/>
  </w:style>
  <w:style w:type="character" w:styleId="WW8Num8z5" w:customStyle="1">
    <w:name w:val="WW8Num8z5"/>
    <w:qFormat/>
    <w:rPr/>
  </w:style>
  <w:style w:type="character" w:styleId="WW8Num8z6" w:customStyle="1">
    <w:name w:val="WW8Num8z6"/>
    <w:qFormat/>
    <w:rPr/>
  </w:style>
  <w:style w:type="character" w:styleId="WW8Num8z7" w:customStyle="1">
    <w:name w:val="WW8Num8z7"/>
    <w:qFormat/>
    <w:rPr/>
  </w:style>
  <w:style w:type="character" w:styleId="WW8Num8z8" w:customStyle="1">
    <w:name w:val="WW8Num8z8"/>
    <w:qFormat/>
    <w:rPr/>
  </w:style>
  <w:style w:type="character" w:styleId="WW8Num9z3" w:customStyle="1">
    <w:name w:val="WW8Num9z3"/>
    <w:qFormat/>
    <w:rPr/>
  </w:style>
  <w:style w:type="character" w:styleId="WW8Num9z4" w:customStyle="1">
    <w:name w:val="WW8Num9z4"/>
    <w:qFormat/>
    <w:rPr/>
  </w:style>
  <w:style w:type="character" w:styleId="WW8Num9z5" w:customStyle="1">
    <w:name w:val="WW8Num9z5"/>
    <w:qFormat/>
    <w:rPr/>
  </w:style>
  <w:style w:type="character" w:styleId="WW8Num9z6" w:customStyle="1">
    <w:name w:val="WW8Num9z6"/>
    <w:qFormat/>
    <w:rPr/>
  </w:style>
  <w:style w:type="character" w:styleId="WW8Num9z7" w:customStyle="1">
    <w:name w:val="WW8Num9z7"/>
    <w:qFormat/>
    <w:rPr/>
  </w:style>
  <w:style w:type="character" w:styleId="WW8Num9z8" w:customStyle="1">
    <w:name w:val="WW8Num9z8"/>
    <w:qFormat/>
    <w:rPr/>
  </w:style>
  <w:style w:type="character" w:styleId="WW8Num10z3" w:customStyle="1">
    <w:name w:val="WW8Num10z3"/>
    <w:qFormat/>
    <w:rPr/>
  </w:style>
  <w:style w:type="character" w:styleId="WW8Num10z4" w:customStyle="1">
    <w:name w:val="WW8Num10z4"/>
    <w:qFormat/>
    <w:rPr/>
  </w:style>
  <w:style w:type="character" w:styleId="WW8Num10z5" w:customStyle="1">
    <w:name w:val="WW8Num10z5"/>
    <w:qFormat/>
    <w:rPr/>
  </w:style>
  <w:style w:type="character" w:styleId="WW8Num10z6" w:customStyle="1">
    <w:name w:val="WW8Num10z6"/>
    <w:qFormat/>
    <w:rPr/>
  </w:style>
  <w:style w:type="character" w:styleId="WW8Num10z7" w:customStyle="1">
    <w:name w:val="WW8Num10z7"/>
    <w:qFormat/>
    <w:rPr/>
  </w:style>
  <w:style w:type="character" w:styleId="WW8Num10z8" w:customStyle="1">
    <w:name w:val="WW8Num10z8"/>
    <w:qFormat/>
    <w:rPr/>
  </w:style>
  <w:style w:type="character" w:styleId="WW8Num11z4" w:customStyle="1">
    <w:name w:val="WW8Num11z4"/>
    <w:qFormat/>
    <w:rPr/>
  </w:style>
  <w:style w:type="character" w:styleId="WW8Num11z5" w:customStyle="1">
    <w:name w:val="WW8Num11z5"/>
    <w:qFormat/>
    <w:rPr/>
  </w:style>
  <w:style w:type="character" w:styleId="WW8Num11z6" w:customStyle="1">
    <w:name w:val="WW8Num11z6"/>
    <w:qFormat/>
    <w:rPr/>
  </w:style>
  <w:style w:type="character" w:styleId="WW8Num11z7" w:customStyle="1">
    <w:name w:val="WW8Num11z7"/>
    <w:qFormat/>
    <w:rPr/>
  </w:style>
  <w:style w:type="character" w:styleId="WW8Num11z8" w:customStyle="1">
    <w:name w:val="WW8Num11z8"/>
    <w:qFormat/>
    <w:rPr/>
  </w:style>
  <w:style w:type="character" w:styleId="WW8Num12z2" w:customStyle="1">
    <w:name w:val="WW8Num12z2"/>
    <w:qFormat/>
    <w:rPr/>
  </w:style>
  <w:style w:type="character" w:styleId="WW8Num12z3" w:customStyle="1">
    <w:name w:val="WW8Num12z3"/>
    <w:qFormat/>
    <w:rPr/>
  </w:style>
  <w:style w:type="character" w:styleId="WW8Num12z4" w:customStyle="1">
    <w:name w:val="WW8Num12z4"/>
    <w:qFormat/>
    <w:rPr/>
  </w:style>
  <w:style w:type="character" w:styleId="WW8Num12z5" w:customStyle="1">
    <w:name w:val="WW8Num12z5"/>
    <w:qFormat/>
    <w:rPr/>
  </w:style>
  <w:style w:type="character" w:styleId="WW8Num12z6" w:customStyle="1">
    <w:name w:val="WW8Num12z6"/>
    <w:qFormat/>
    <w:rPr/>
  </w:style>
  <w:style w:type="character" w:styleId="WW8Num12z7" w:customStyle="1">
    <w:name w:val="WW8Num12z7"/>
    <w:qFormat/>
    <w:rPr/>
  </w:style>
  <w:style w:type="character" w:styleId="WW8Num12z8" w:customStyle="1">
    <w:name w:val="WW8Num12z8"/>
    <w:qFormat/>
    <w:rPr/>
  </w:style>
  <w:style w:type="character" w:styleId="WW8Num13z3" w:customStyle="1">
    <w:name w:val="WW8Num13z3"/>
    <w:qFormat/>
    <w:rPr/>
  </w:style>
  <w:style w:type="character" w:styleId="WW8Num13z4" w:customStyle="1">
    <w:name w:val="WW8Num13z4"/>
    <w:qFormat/>
    <w:rPr/>
  </w:style>
  <w:style w:type="character" w:styleId="WW8Num13z5" w:customStyle="1">
    <w:name w:val="WW8Num13z5"/>
    <w:qFormat/>
    <w:rPr/>
  </w:style>
  <w:style w:type="character" w:styleId="WW8Num13z6" w:customStyle="1">
    <w:name w:val="WW8Num13z6"/>
    <w:qFormat/>
    <w:rPr/>
  </w:style>
  <w:style w:type="character" w:styleId="WW8Num13z7" w:customStyle="1">
    <w:name w:val="WW8Num13z7"/>
    <w:qFormat/>
    <w:rPr/>
  </w:style>
  <w:style w:type="character" w:styleId="WW8Num13z8" w:customStyle="1">
    <w:name w:val="WW8Num13z8"/>
    <w:qFormat/>
    <w:rPr/>
  </w:style>
  <w:style w:type="character" w:styleId="WW8Num14z3" w:customStyle="1">
    <w:name w:val="WW8Num14z3"/>
    <w:qFormat/>
    <w:rPr/>
  </w:style>
  <w:style w:type="character" w:styleId="WW8Num14z4" w:customStyle="1">
    <w:name w:val="WW8Num14z4"/>
    <w:qFormat/>
    <w:rPr/>
  </w:style>
  <w:style w:type="character" w:styleId="WW8Num14z5" w:customStyle="1">
    <w:name w:val="WW8Num14z5"/>
    <w:qFormat/>
    <w:rPr/>
  </w:style>
  <w:style w:type="character" w:styleId="WW8Num14z6" w:customStyle="1">
    <w:name w:val="WW8Num14z6"/>
    <w:qFormat/>
    <w:rPr/>
  </w:style>
  <w:style w:type="character" w:styleId="WW8Num14z7" w:customStyle="1">
    <w:name w:val="WW8Num14z7"/>
    <w:qFormat/>
    <w:rPr/>
  </w:style>
  <w:style w:type="character" w:styleId="WW8Num14z8" w:customStyle="1">
    <w:name w:val="WW8Num14z8"/>
    <w:qFormat/>
    <w:rPr/>
  </w:style>
  <w:style w:type="character" w:styleId="WW8Num15z2" w:customStyle="1">
    <w:name w:val="WW8Num15z2"/>
    <w:qFormat/>
    <w:rPr/>
  </w:style>
  <w:style w:type="character" w:styleId="WW8Num15z4" w:customStyle="1">
    <w:name w:val="WW8Num15z4"/>
    <w:qFormat/>
    <w:rPr/>
  </w:style>
  <w:style w:type="character" w:styleId="WW8Num15z5" w:customStyle="1">
    <w:name w:val="WW8Num15z5"/>
    <w:qFormat/>
    <w:rPr/>
  </w:style>
  <w:style w:type="character" w:styleId="WW8Num15z6" w:customStyle="1">
    <w:name w:val="WW8Num15z6"/>
    <w:qFormat/>
    <w:rPr/>
  </w:style>
  <w:style w:type="character" w:styleId="WW8Num15z7" w:customStyle="1">
    <w:name w:val="WW8Num15z7"/>
    <w:qFormat/>
    <w:rPr/>
  </w:style>
  <w:style w:type="character" w:styleId="WW8Num15z8" w:customStyle="1">
    <w:name w:val="WW8Num15z8"/>
    <w:qFormat/>
    <w:rPr/>
  </w:style>
  <w:style w:type="character" w:styleId="WW8Num16z4" w:customStyle="1">
    <w:name w:val="WW8Num16z4"/>
    <w:qFormat/>
    <w:rPr/>
  </w:style>
  <w:style w:type="character" w:styleId="WW8Num16z5" w:customStyle="1">
    <w:name w:val="WW8Num16z5"/>
    <w:qFormat/>
    <w:rPr/>
  </w:style>
  <w:style w:type="character" w:styleId="WW8Num16z6" w:customStyle="1">
    <w:name w:val="WW8Num16z6"/>
    <w:qFormat/>
    <w:rPr/>
  </w:style>
  <w:style w:type="character" w:styleId="WW8Num16z7" w:customStyle="1">
    <w:name w:val="WW8Num16z7"/>
    <w:qFormat/>
    <w:rPr/>
  </w:style>
  <w:style w:type="character" w:styleId="WW8Num16z8" w:customStyle="1">
    <w:name w:val="WW8Num16z8"/>
    <w:qFormat/>
    <w:rPr/>
  </w:style>
  <w:style w:type="character" w:styleId="WW8Num17z3" w:customStyle="1">
    <w:name w:val="WW8Num17z3"/>
    <w:qFormat/>
    <w:rPr/>
  </w:style>
  <w:style w:type="character" w:styleId="WW8Num17z4" w:customStyle="1">
    <w:name w:val="WW8Num17z4"/>
    <w:qFormat/>
    <w:rPr/>
  </w:style>
  <w:style w:type="character" w:styleId="WW8Num17z5" w:customStyle="1">
    <w:name w:val="WW8Num17z5"/>
    <w:qFormat/>
    <w:rPr/>
  </w:style>
  <w:style w:type="character" w:styleId="WW8Num17z6" w:customStyle="1">
    <w:name w:val="WW8Num17z6"/>
    <w:qFormat/>
    <w:rPr/>
  </w:style>
  <w:style w:type="character" w:styleId="WW8Num17z7" w:customStyle="1">
    <w:name w:val="WW8Num17z7"/>
    <w:qFormat/>
    <w:rPr/>
  </w:style>
  <w:style w:type="character" w:styleId="WW8Num17z8" w:customStyle="1">
    <w:name w:val="WW8Num17z8"/>
    <w:qFormat/>
    <w:rPr/>
  </w:style>
  <w:style w:type="character" w:styleId="WW8Num18z2" w:customStyle="1">
    <w:name w:val="WW8Num18z2"/>
    <w:qFormat/>
    <w:rPr/>
  </w:style>
  <w:style w:type="character" w:styleId="WW8Num18z3" w:customStyle="1">
    <w:name w:val="WW8Num18z3"/>
    <w:qFormat/>
    <w:rPr/>
  </w:style>
  <w:style w:type="character" w:styleId="WW8Num18z4" w:customStyle="1">
    <w:name w:val="WW8Num18z4"/>
    <w:qFormat/>
    <w:rPr/>
  </w:style>
  <w:style w:type="character" w:styleId="WW8Num18z5" w:customStyle="1">
    <w:name w:val="WW8Num18z5"/>
    <w:qFormat/>
    <w:rPr/>
  </w:style>
  <w:style w:type="character" w:styleId="WW8Num18z6" w:customStyle="1">
    <w:name w:val="WW8Num18z6"/>
    <w:qFormat/>
    <w:rPr/>
  </w:style>
  <w:style w:type="character" w:styleId="WW8Num18z7" w:customStyle="1">
    <w:name w:val="WW8Num18z7"/>
    <w:qFormat/>
    <w:rPr/>
  </w:style>
  <w:style w:type="character" w:styleId="WW8Num18z8" w:customStyle="1">
    <w:name w:val="WW8Num18z8"/>
    <w:qFormat/>
    <w:rPr/>
  </w:style>
  <w:style w:type="character" w:styleId="WW8Num19z2" w:customStyle="1">
    <w:name w:val="WW8Num19z2"/>
    <w:qFormat/>
    <w:rPr/>
  </w:style>
  <w:style w:type="character" w:styleId="WW8Num19z3" w:customStyle="1">
    <w:name w:val="WW8Num19z3"/>
    <w:qFormat/>
    <w:rPr/>
  </w:style>
  <w:style w:type="character" w:styleId="WW8Num19z4" w:customStyle="1">
    <w:name w:val="WW8Num19z4"/>
    <w:qFormat/>
    <w:rPr/>
  </w:style>
  <w:style w:type="character" w:styleId="WW8Num19z5" w:customStyle="1">
    <w:name w:val="WW8Num19z5"/>
    <w:qFormat/>
    <w:rPr/>
  </w:style>
  <w:style w:type="character" w:styleId="WW8Num19z6" w:customStyle="1">
    <w:name w:val="WW8Num19z6"/>
    <w:qFormat/>
    <w:rPr/>
  </w:style>
  <w:style w:type="character" w:styleId="WW8Num19z7" w:customStyle="1">
    <w:name w:val="WW8Num19z7"/>
    <w:qFormat/>
    <w:rPr/>
  </w:style>
  <w:style w:type="character" w:styleId="WW8Num19z8" w:customStyle="1">
    <w:name w:val="WW8Num19z8"/>
    <w:qFormat/>
    <w:rPr/>
  </w:style>
  <w:style w:type="character" w:styleId="WW8Num20z2" w:customStyle="1">
    <w:name w:val="WW8Num20z2"/>
    <w:qFormat/>
    <w:rPr/>
  </w:style>
  <w:style w:type="character" w:styleId="WW8Num20z3" w:customStyle="1">
    <w:name w:val="WW8Num20z3"/>
    <w:qFormat/>
    <w:rPr/>
  </w:style>
  <w:style w:type="character" w:styleId="WW8Num20z4" w:customStyle="1">
    <w:name w:val="WW8Num20z4"/>
    <w:qFormat/>
    <w:rPr/>
  </w:style>
  <w:style w:type="character" w:styleId="WW8Num20z5" w:customStyle="1">
    <w:name w:val="WW8Num20z5"/>
    <w:qFormat/>
    <w:rPr/>
  </w:style>
  <w:style w:type="character" w:styleId="WW8Num20z6" w:customStyle="1">
    <w:name w:val="WW8Num20z6"/>
    <w:qFormat/>
    <w:rPr/>
  </w:style>
  <w:style w:type="character" w:styleId="WW8Num20z7" w:customStyle="1">
    <w:name w:val="WW8Num20z7"/>
    <w:qFormat/>
    <w:rPr/>
  </w:style>
  <w:style w:type="character" w:styleId="WW8Num20z8" w:customStyle="1">
    <w:name w:val="WW8Num20z8"/>
    <w:qFormat/>
    <w:rPr/>
  </w:style>
  <w:style w:type="character" w:styleId="WW8Num21z3" w:customStyle="1">
    <w:name w:val="WW8Num21z3"/>
    <w:qFormat/>
    <w:rPr/>
  </w:style>
  <w:style w:type="character" w:styleId="WW8Num21z4" w:customStyle="1">
    <w:name w:val="WW8Num21z4"/>
    <w:qFormat/>
    <w:rPr/>
  </w:style>
  <w:style w:type="character" w:styleId="WW8Num21z5" w:customStyle="1">
    <w:name w:val="WW8Num21z5"/>
    <w:qFormat/>
    <w:rPr/>
  </w:style>
  <w:style w:type="character" w:styleId="WW8Num21z6" w:customStyle="1">
    <w:name w:val="WW8Num21z6"/>
    <w:qFormat/>
    <w:rPr/>
  </w:style>
  <w:style w:type="character" w:styleId="WW8Num21z7" w:customStyle="1">
    <w:name w:val="WW8Num21z7"/>
    <w:qFormat/>
    <w:rPr/>
  </w:style>
  <w:style w:type="character" w:styleId="WW8Num21z8" w:customStyle="1">
    <w:name w:val="WW8Num21z8"/>
    <w:qFormat/>
    <w:rPr/>
  </w:style>
  <w:style w:type="character" w:styleId="WW8Num22z3" w:customStyle="1">
    <w:name w:val="WW8Num22z3"/>
    <w:qFormat/>
    <w:rPr/>
  </w:style>
  <w:style w:type="character" w:styleId="WW8Num22z4" w:customStyle="1">
    <w:name w:val="WW8Num22z4"/>
    <w:qFormat/>
    <w:rPr/>
  </w:style>
  <w:style w:type="character" w:styleId="WW8Num22z5" w:customStyle="1">
    <w:name w:val="WW8Num22z5"/>
    <w:qFormat/>
    <w:rPr/>
  </w:style>
  <w:style w:type="character" w:styleId="WW8Num22z6" w:customStyle="1">
    <w:name w:val="WW8Num22z6"/>
    <w:qFormat/>
    <w:rPr/>
  </w:style>
  <w:style w:type="character" w:styleId="WW8Num22z7" w:customStyle="1">
    <w:name w:val="WW8Num22z7"/>
    <w:qFormat/>
    <w:rPr/>
  </w:style>
  <w:style w:type="character" w:styleId="WW8Num22z8" w:customStyle="1">
    <w:name w:val="WW8Num22z8"/>
    <w:qFormat/>
    <w:rPr/>
  </w:style>
  <w:style w:type="character" w:styleId="WW8Num23z3" w:customStyle="1">
    <w:name w:val="WW8Num23z3"/>
    <w:qFormat/>
    <w:rPr/>
  </w:style>
  <w:style w:type="character" w:styleId="WW8Num23z4" w:customStyle="1">
    <w:name w:val="WW8Num23z4"/>
    <w:qFormat/>
    <w:rPr/>
  </w:style>
  <w:style w:type="character" w:styleId="WW8Num23z5" w:customStyle="1">
    <w:name w:val="WW8Num23z5"/>
    <w:qFormat/>
    <w:rPr/>
  </w:style>
  <w:style w:type="character" w:styleId="WW8Num23z6" w:customStyle="1">
    <w:name w:val="WW8Num23z6"/>
    <w:qFormat/>
    <w:rPr/>
  </w:style>
  <w:style w:type="character" w:styleId="WW8Num23z7" w:customStyle="1">
    <w:name w:val="WW8Num23z7"/>
    <w:qFormat/>
    <w:rPr/>
  </w:style>
  <w:style w:type="character" w:styleId="WW8Num23z8" w:customStyle="1">
    <w:name w:val="WW8Num23z8"/>
    <w:qFormat/>
    <w:rPr/>
  </w:style>
  <w:style w:type="character" w:styleId="WW8Num24z2" w:customStyle="1">
    <w:name w:val="WW8Num24z2"/>
    <w:qFormat/>
    <w:rPr/>
  </w:style>
  <w:style w:type="character" w:styleId="WW8Num24z3" w:customStyle="1">
    <w:name w:val="WW8Num24z3"/>
    <w:qFormat/>
    <w:rPr/>
  </w:style>
  <w:style w:type="character" w:styleId="WW8Num24z4" w:customStyle="1">
    <w:name w:val="WW8Num24z4"/>
    <w:qFormat/>
    <w:rPr/>
  </w:style>
  <w:style w:type="character" w:styleId="WW8Num24z5" w:customStyle="1">
    <w:name w:val="WW8Num24z5"/>
    <w:qFormat/>
    <w:rPr/>
  </w:style>
  <w:style w:type="character" w:styleId="WW8Num24z6" w:customStyle="1">
    <w:name w:val="WW8Num24z6"/>
    <w:qFormat/>
    <w:rPr/>
  </w:style>
  <w:style w:type="character" w:styleId="WW8Num24z7" w:customStyle="1">
    <w:name w:val="WW8Num24z7"/>
    <w:qFormat/>
    <w:rPr/>
  </w:style>
  <w:style w:type="character" w:styleId="WW8Num24z8" w:customStyle="1">
    <w:name w:val="WW8Num24z8"/>
    <w:qFormat/>
    <w:rPr/>
  </w:style>
  <w:style w:type="character" w:styleId="WW8Num25z2" w:customStyle="1">
    <w:name w:val="WW8Num25z2"/>
    <w:qFormat/>
    <w:rPr/>
  </w:style>
  <w:style w:type="character" w:styleId="WW8Num25z4" w:customStyle="1">
    <w:name w:val="WW8Num25z4"/>
    <w:qFormat/>
    <w:rPr/>
  </w:style>
  <w:style w:type="character" w:styleId="WW8Num25z5" w:customStyle="1">
    <w:name w:val="WW8Num25z5"/>
    <w:qFormat/>
    <w:rPr/>
  </w:style>
  <w:style w:type="character" w:styleId="WW8Num25z6" w:customStyle="1">
    <w:name w:val="WW8Num25z6"/>
    <w:qFormat/>
    <w:rPr/>
  </w:style>
  <w:style w:type="character" w:styleId="WW8Num25z7" w:customStyle="1">
    <w:name w:val="WW8Num25z7"/>
    <w:qFormat/>
    <w:rPr/>
  </w:style>
  <w:style w:type="character" w:styleId="WW8Num25z8" w:customStyle="1">
    <w:name w:val="WW8Num25z8"/>
    <w:qFormat/>
    <w:rPr/>
  </w:style>
  <w:style w:type="character" w:styleId="WW8Num26z3" w:customStyle="1">
    <w:name w:val="WW8Num26z3"/>
    <w:qFormat/>
    <w:rPr/>
  </w:style>
  <w:style w:type="character" w:styleId="WW8Num26z4" w:customStyle="1">
    <w:name w:val="WW8Num26z4"/>
    <w:qFormat/>
    <w:rPr/>
  </w:style>
  <w:style w:type="character" w:styleId="WW8Num26z5" w:customStyle="1">
    <w:name w:val="WW8Num26z5"/>
    <w:qFormat/>
    <w:rPr/>
  </w:style>
  <w:style w:type="character" w:styleId="WW8Num26z6" w:customStyle="1">
    <w:name w:val="WW8Num26z6"/>
    <w:qFormat/>
    <w:rPr/>
  </w:style>
  <w:style w:type="character" w:styleId="WW8Num26z7" w:customStyle="1">
    <w:name w:val="WW8Num26z7"/>
    <w:qFormat/>
    <w:rPr/>
  </w:style>
  <w:style w:type="character" w:styleId="WW8Num26z8" w:customStyle="1">
    <w:name w:val="WW8Num26z8"/>
    <w:qFormat/>
    <w:rPr/>
  </w:style>
  <w:style w:type="character" w:styleId="WW8Num27z3" w:customStyle="1">
    <w:name w:val="WW8Num27z3"/>
    <w:qFormat/>
    <w:rPr/>
  </w:style>
  <w:style w:type="character" w:styleId="WW8Num27z4" w:customStyle="1">
    <w:name w:val="WW8Num27z4"/>
    <w:qFormat/>
    <w:rPr/>
  </w:style>
  <w:style w:type="character" w:styleId="WW8Num27z5" w:customStyle="1">
    <w:name w:val="WW8Num27z5"/>
    <w:qFormat/>
    <w:rPr/>
  </w:style>
  <w:style w:type="character" w:styleId="WW8Num27z6" w:customStyle="1">
    <w:name w:val="WW8Num27z6"/>
    <w:qFormat/>
    <w:rPr/>
  </w:style>
  <w:style w:type="character" w:styleId="WW8Num27z7" w:customStyle="1">
    <w:name w:val="WW8Num27z7"/>
    <w:qFormat/>
    <w:rPr/>
  </w:style>
  <w:style w:type="character" w:styleId="WW8Num27z8" w:customStyle="1">
    <w:name w:val="WW8Num27z8"/>
    <w:qFormat/>
    <w:rPr/>
  </w:style>
  <w:style w:type="character" w:styleId="WW8Num28z3" w:customStyle="1">
    <w:name w:val="WW8Num28z3"/>
    <w:qFormat/>
    <w:rPr/>
  </w:style>
  <w:style w:type="character" w:styleId="WW8Num28z4" w:customStyle="1">
    <w:name w:val="WW8Num28z4"/>
    <w:qFormat/>
    <w:rPr/>
  </w:style>
  <w:style w:type="character" w:styleId="WW8Num28z5" w:customStyle="1">
    <w:name w:val="WW8Num28z5"/>
    <w:qFormat/>
    <w:rPr/>
  </w:style>
  <w:style w:type="character" w:styleId="WW8Num28z6" w:customStyle="1">
    <w:name w:val="WW8Num28z6"/>
    <w:qFormat/>
    <w:rPr/>
  </w:style>
  <w:style w:type="character" w:styleId="WW8Num28z7" w:customStyle="1">
    <w:name w:val="WW8Num28z7"/>
    <w:qFormat/>
    <w:rPr/>
  </w:style>
  <w:style w:type="character" w:styleId="WW8Num28z8" w:customStyle="1">
    <w:name w:val="WW8Num28z8"/>
    <w:qFormat/>
    <w:rPr/>
  </w:style>
  <w:style w:type="character" w:styleId="WW8Num29z2" w:customStyle="1">
    <w:name w:val="WW8Num29z2"/>
    <w:qFormat/>
    <w:rPr/>
  </w:style>
  <w:style w:type="character" w:styleId="WW8Num29z3" w:customStyle="1">
    <w:name w:val="WW8Num29z3"/>
    <w:qFormat/>
    <w:rPr/>
  </w:style>
  <w:style w:type="character" w:styleId="WW8Num29z4" w:customStyle="1">
    <w:name w:val="WW8Num29z4"/>
    <w:qFormat/>
    <w:rPr/>
  </w:style>
  <w:style w:type="character" w:styleId="WW8Num29z5" w:customStyle="1">
    <w:name w:val="WW8Num29z5"/>
    <w:qFormat/>
    <w:rPr/>
  </w:style>
  <w:style w:type="character" w:styleId="WW8Num29z6" w:customStyle="1">
    <w:name w:val="WW8Num29z6"/>
    <w:qFormat/>
    <w:rPr/>
  </w:style>
  <w:style w:type="character" w:styleId="WW8Num29z7" w:customStyle="1">
    <w:name w:val="WW8Num29z7"/>
    <w:qFormat/>
    <w:rPr/>
  </w:style>
  <w:style w:type="character" w:styleId="WW8Num29z8" w:customStyle="1">
    <w:name w:val="WW8Num29z8"/>
    <w:qFormat/>
    <w:rPr/>
  </w:style>
  <w:style w:type="character" w:styleId="WW8Num30z4" w:customStyle="1">
    <w:name w:val="WW8Num30z4"/>
    <w:qFormat/>
    <w:rPr/>
  </w:style>
  <w:style w:type="character" w:styleId="WW8Num30z5" w:customStyle="1">
    <w:name w:val="WW8Num30z5"/>
    <w:qFormat/>
    <w:rPr/>
  </w:style>
  <w:style w:type="character" w:styleId="WW8Num30z6" w:customStyle="1">
    <w:name w:val="WW8Num30z6"/>
    <w:qFormat/>
    <w:rPr/>
  </w:style>
  <w:style w:type="character" w:styleId="WW8Num30z7" w:customStyle="1">
    <w:name w:val="WW8Num30z7"/>
    <w:qFormat/>
    <w:rPr/>
  </w:style>
  <w:style w:type="character" w:styleId="WW8Num30z8" w:customStyle="1">
    <w:name w:val="WW8Num30z8"/>
    <w:qFormat/>
    <w:rPr/>
  </w:style>
  <w:style w:type="character" w:styleId="WW8Num31z2" w:customStyle="1">
    <w:name w:val="WW8Num31z2"/>
    <w:qFormat/>
    <w:rPr/>
  </w:style>
  <w:style w:type="character" w:styleId="WW8Num31z3" w:customStyle="1">
    <w:name w:val="WW8Num31z3"/>
    <w:qFormat/>
    <w:rPr/>
  </w:style>
  <w:style w:type="character" w:styleId="WW8Num31z4" w:customStyle="1">
    <w:name w:val="WW8Num31z4"/>
    <w:qFormat/>
    <w:rPr/>
  </w:style>
  <w:style w:type="character" w:styleId="WW8Num31z5" w:customStyle="1">
    <w:name w:val="WW8Num31z5"/>
    <w:qFormat/>
    <w:rPr/>
  </w:style>
  <w:style w:type="character" w:styleId="WW8Num31z6" w:customStyle="1">
    <w:name w:val="WW8Num31z6"/>
    <w:qFormat/>
    <w:rPr/>
  </w:style>
  <w:style w:type="character" w:styleId="WW8Num31z7" w:customStyle="1">
    <w:name w:val="WW8Num31z7"/>
    <w:qFormat/>
    <w:rPr/>
  </w:style>
  <w:style w:type="character" w:styleId="WW8Num31z8" w:customStyle="1">
    <w:name w:val="WW8Num31z8"/>
    <w:qFormat/>
    <w:rPr/>
  </w:style>
  <w:style w:type="character" w:styleId="WW8Num32z3" w:customStyle="1">
    <w:name w:val="WW8Num32z3"/>
    <w:qFormat/>
    <w:rPr/>
  </w:style>
  <w:style w:type="character" w:styleId="WW8Num32z4" w:customStyle="1">
    <w:name w:val="WW8Num32z4"/>
    <w:qFormat/>
    <w:rPr/>
  </w:style>
  <w:style w:type="character" w:styleId="WW8Num32z5" w:customStyle="1">
    <w:name w:val="WW8Num32z5"/>
    <w:qFormat/>
    <w:rPr/>
  </w:style>
  <w:style w:type="character" w:styleId="WW8Num32z6" w:customStyle="1">
    <w:name w:val="WW8Num32z6"/>
    <w:qFormat/>
    <w:rPr/>
  </w:style>
  <w:style w:type="character" w:styleId="WW8Num32z7" w:customStyle="1">
    <w:name w:val="WW8Num32z7"/>
    <w:qFormat/>
    <w:rPr/>
  </w:style>
  <w:style w:type="character" w:styleId="WW8Num32z8" w:customStyle="1">
    <w:name w:val="WW8Num32z8"/>
    <w:qFormat/>
    <w:rPr/>
  </w:style>
  <w:style w:type="character" w:styleId="WW8Num33z3" w:customStyle="1">
    <w:name w:val="WW8Num33z3"/>
    <w:qFormat/>
    <w:rPr/>
  </w:style>
  <w:style w:type="character" w:styleId="WW8Num33z4" w:customStyle="1">
    <w:name w:val="WW8Num33z4"/>
    <w:qFormat/>
    <w:rPr/>
  </w:style>
  <w:style w:type="character" w:styleId="WW8Num33z5" w:customStyle="1">
    <w:name w:val="WW8Num33z5"/>
    <w:qFormat/>
    <w:rPr/>
  </w:style>
  <w:style w:type="character" w:styleId="WW8Num33z6" w:customStyle="1">
    <w:name w:val="WW8Num33z6"/>
    <w:qFormat/>
    <w:rPr/>
  </w:style>
  <w:style w:type="character" w:styleId="WW8Num33z7" w:customStyle="1">
    <w:name w:val="WW8Num33z7"/>
    <w:qFormat/>
    <w:rPr/>
  </w:style>
  <w:style w:type="character" w:styleId="WW8Num33z8" w:customStyle="1">
    <w:name w:val="WW8Num33z8"/>
    <w:qFormat/>
    <w:rPr/>
  </w:style>
  <w:style w:type="character" w:styleId="WW8Num34z3" w:customStyle="1">
    <w:name w:val="WW8Num34z3"/>
    <w:qFormat/>
    <w:rPr/>
  </w:style>
  <w:style w:type="character" w:styleId="WW8Num34z4" w:customStyle="1">
    <w:name w:val="WW8Num34z4"/>
    <w:qFormat/>
    <w:rPr/>
  </w:style>
  <w:style w:type="character" w:styleId="WW8Num34z5" w:customStyle="1">
    <w:name w:val="WW8Num34z5"/>
    <w:qFormat/>
    <w:rPr/>
  </w:style>
  <w:style w:type="character" w:styleId="WW8Num34z6" w:customStyle="1">
    <w:name w:val="WW8Num34z6"/>
    <w:qFormat/>
    <w:rPr/>
  </w:style>
  <w:style w:type="character" w:styleId="WW8Num34z7" w:customStyle="1">
    <w:name w:val="WW8Num34z7"/>
    <w:qFormat/>
    <w:rPr/>
  </w:style>
  <w:style w:type="character" w:styleId="WW8Num34z8" w:customStyle="1">
    <w:name w:val="WW8Num34z8"/>
    <w:qFormat/>
    <w:rPr/>
  </w:style>
  <w:style w:type="character" w:styleId="WW8Num37z2" w:customStyle="1">
    <w:name w:val="WW8Num37z2"/>
    <w:qFormat/>
    <w:rPr/>
  </w:style>
  <w:style w:type="character" w:styleId="WW8Num37z3" w:customStyle="1">
    <w:name w:val="WW8Num37z3"/>
    <w:qFormat/>
    <w:rPr/>
  </w:style>
  <w:style w:type="character" w:styleId="WW8Num37z4" w:customStyle="1">
    <w:name w:val="WW8Num37z4"/>
    <w:qFormat/>
    <w:rPr/>
  </w:style>
  <w:style w:type="character" w:styleId="WW8Num37z5" w:customStyle="1">
    <w:name w:val="WW8Num37z5"/>
    <w:qFormat/>
    <w:rPr/>
  </w:style>
  <w:style w:type="character" w:styleId="WW8Num37z6" w:customStyle="1">
    <w:name w:val="WW8Num37z6"/>
    <w:qFormat/>
    <w:rPr/>
  </w:style>
  <w:style w:type="character" w:styleId="WW8Num37z7" w:customStyle="1">
    <w:name w:val="WW8Num37z7"/>
    <w:qFormat/>
    <w:rPr/>
  </w:style>
  <w:style w:type="character" w:styleId="WW8Num37z8" w:customStyle="1">
    <w:name w:val="WW8Num37z8"/>
    <w:qFormat/>
    <w:rPr/>
  </w:style>
  <w:style w:type="character" w:styleId="WW8Num38z3" w:customStyle="1">
    <w:name w:val="WW8Num38z3"/>
    <w:qFormat/>
    <w:rPr/>
  </w:style>
  <w:style w:type="character" w:styleId="WW8Num38z4" w:customStyle="1">
    <w:name w:val="WW8Num38z4"/>
    <w:qFormat/>
    <w:rPr/>
  </w:style>
  <w:style w:type="character" w:styleId="WW8Num38z5" w:customStyle="1">
    <w:name w:val="WW8Num38z5"/>
    <w:qFormat/>
    <w:rPr/>
  </w:style>
  <w:style w:type="character" w:styleId="WW8Num38z6" w:customStyle="1">
    <w:name w:val="WW8Num38z6"/>
    <w:qFormat/>
    <w:rPr/>
  </w:style>
  <w:style w:type="character" w:styleId="WW8Num38z7" w:customStyle="1">
    <w:name w:val="WW8Num38z7"/>
    <w:qFormat/>
    <w:rPr/>
  </w:style>
  <w:style w:type="character" w:styleId="WW8Num38z8" w:customStyle="1">
    <w:name w:val="WW8Num38z8"/>
    <w:qFormat/>
    <w:rPr/>
  </w:style>
  <w:style w:type="character" w:styleId="WW8Num39z2" w:customStyle="1">
    <w:name w:val="WW8Num39z2"/>
    <w:qFormat/>
    <w:rPr/>
  </w:style>
  <w:style w:type="character" w:styleId="WW8Num39z3" w:customStyle="1">
    <w:name w:val="WW8Num39z3"/>
    <w:qFormat/>
    <w:rPr/>
  </w:style>
  <w:style w:type="character" w:styleId="WW8Num39z4" w:customStyle="1">
    <w:name w:val="WW8Num39z4"/>
    <w:qFormat/>
    <w:rPr/>
  </w:style>
  <w:style w:type="character" w:styleId="WW8Num39z5" w:customStyle="1">
    <w:name w:val="WW8Num39z5"/>
    <w:qFormat/>
    <w:rPr/>
  </w:style>
  <w:style w:type="character" w:styleId="WW8Num39z6" w:customStyle="1">
    <w:name w:val="WW8Num39z6"/>
    <w:qFormat/>
    <w:rPr/>
  </w:style>
  <w:style w:type="character" w:styleId="WW8Num39z7" w:customStyle="1">
    <w:name w:val="WW8Num39z7"/>
    <w:qFormat/>
    <w:rPr/>
  </w:style>
  <w:style w:type="character" w:styleId="WW8Num39z8" w:customStyle="1">
    <w:name w:val="WW8Num39z8"/>
    <w:qFormat/>
    <w:rPr/>
  </w:style>
  <w:style w:type="character" w:styleId="WW8Num40z2" w:customStyle="1">
    <w:name w:val="WW8Num40z2"/>
    <w:qFormat/>
    <w:rPr/>
  </w:style>
  <w:style w:type="character" w:styleId="WW8Num40z3" w:customStyle="1">
    <w:name w:val="WW8Num40z3"/>
    <w:qFormat/>
    <w:rPr/>
  </w:style>
  <w:style w:type="character" w:styleId="WW8Num40z4" w:customStyle="1">
    <w:name w:val="WW8Num40z4"/>
    <w:qFormat/>
    <w:rPr/>
  </w:style>
  <w:style w:type="character" w:styleId="WW8Num40z5" w:customStyle="1">
    <w:name w:val="WW8Num40z5"/>
    <w:qFormat/>
    <w:rPr/>
  </w:style>
  <w:style w:type="character" w:styleId="WW8Num40z6" w:customStyle="1">
    <w:name w:val="WW8Num40z6"/>
    <w:qFormat/>
    <w:rPr/>
  </w:style>
  <w:style w:type="character" w:styleId="WW8Num40z7" w:customStyle="1">
    <w:name w:val="WW8Num40z7"/>
    <w:qFormat/>
    <w:rPr/>
  </w:style>
  <w:style w:type="character" w:styleId="WW8Num40z8" w:customStyle="1">
    <w:name w:val="WW8Num40z8"/>
    <w:qFormat/>
    <w:rPr/>
  </w:style>
  <w:style w:type="character" w:styleId="WW8Num41z3" w:customStyle="1">
    <w:name w:val="WW8Num41z3"/>
    <w:qFormat/>
    <w:rPr/>
  </w:style>
  <w:style w:type="character" w:styleId="WW8Num41z4" w:customStyle="1">
    <w:name w:val="WW8Num41z4"/>
    <w:qFormat/>
    <w:rPr/>
  </w:style>
  <w:style w:type="character" w:styleId="WW8Num41z5" w:customStyle="1">
    <w:name w:val="WW8Num41z5"/>
    <w:qFormat/>
    <w:rPr/>
  </w:style>
  <w:style w:type="character" w:styleId="WW8Num41z6" w:customStyle="1">
    <w:name w:val="WW8Num41z6"/>
    <w:qFormat/>
    <w:rPr/>
  </w:style>
  <w:style w:type="character" w:styleId="WW8Num41z7" w:customStyle="1">
    <w:name w:val="WW8Num41z7"/>
    <w:qFormat/>
    <w:rPr/>
  </w:style>
  <w:style w:type="character" w:styleId="WW8Num41z8" w:customStyle="1">
    <w:name w:val="WW8Num41z8"/>
    <w:qFormat/>
    <w:rPr/>
  </w:style>
  <w:style w:type="character" w:styleId="WW8Num42z3" w:customStyle="1">
    <w:name w:val="WW8Num42z3"/>
    <w:qFormat/>
    <w:rPr/>
  </w:style>
  <w:style w:type="character" w:styleId="WW8Num42z4" w:customStyle="1">
    <w:name w:val="WW8Num42z4"/>
    <w:qFormat/>
    <w:rPr/>
  </w:style>
  <w:style w:type="character" w:styleId="WW8Num42z5" w:customStyle="1">
    <w:name w:val="WW8Num42z5"/>
    <w:qFormat/>
    <w:rPr/>
  </w:style>
  <w:style w:type="character" w:styleId="WW8Num42z6" w:customStyle="1">
    <w:name w:val="WW8Num42z6"/>
    <w:qFormat/>
    <w:rPr/>
  </w:style>
  <w:style w:type="character" w:styleId="WW8Num42z7" w:customStyle="1">
    <w:name w:val="WW8Num42z7"/>
    <w:qFormat/>
    <w:rPr/>
  </w:style>
  <w:style w:type="character" w:styleId="WW8Num42z8" w:customStyle="1">
    <w:name w:val="WW8Num42z8"/>
    <w:qFormat/>
    <w:rPr/>
  </w:style>
  <w:style w:type="character" w:styleId="WW8Num43z3" w:customStyle="1">
    <w:name w:val="WW8Num43z3"/>
    <w:qFormat/>
    <w:rPr/>
  </w:style>
  <w:style w:type="character" w:styleId="WW8Num43z4" w:customStyle="1">
    <w:name w:val="WW8Num43z4"/>
    <w:qFormat/>
    <w:rPr/>
  </w:style>
  <w:style w:type="character" w:styleId="WW8Num43z5" w:customStyle="1">
    <w:name w:val="WW8Num43z5"/>
    <w:qFormat/>
    <w:rPr/>
  </w:style>
  <w:style w:type="character" w:styleId="WW8Num43z6" w:customStyle="1">
    <w:name w:val="WW8Num43z6"/>
    <w:qFormat/>
    <w:rPr/>
  </w:style>
  <w:style w:type="character" w:styleId="WW8Num43z7" w:customStyle="1">
    <w:name w:val="WW8Num43z7"/>
    <w:qFormat/>
    <w:rPr/>
  </w:style>
  <w:style w:type="character" w:styleId="WW8Num43z8" w:customStyle="1">
    <w:name w:val="WW8Num43z8"/>
    <w:qFormat/>
    <w:rPr/>
  </w:style>
  <w:style w:type="character" w:styleId="WW8Num44z2" w:customStyle="1">
    <w:name w:val="WW8Num44z2"/>
    <w:qFormat/>
    <w:rPr/>
  </w:style>
  <w:style w:type="character" w:styleId="WW8Num44z3" w:customStyle="1">
    <w:name w:val="WW8Num44z3"/>
    <w:qFormat/>
    <w:rPr/>
  </w:style>
  <w:style w:type="character" w:styleId="WW8Num44z4" w:customStyle="1">
    <w:name w:val="WW8Num44z4"/>
    <w:qFormat/>
    <w:rPr/>
  </w:style>
  <w:style w:type="character" w:styleId="WW8Num44z5" w:customStyle="1">
    <w:name w:val="WW8Num44z5"/>
    <w:qFormat/>
    <w:rPr/>
  </w:style>
  <w:style w:type="character" w:styleId="WW8Num44z6" w:customStyle="1">
    <w:name w:val="WW8Num44z6"/>
    <w:qFormat/>
    <w:rPr/>
  </w:style>
  <w:style w:type="character" w:styleId="WW8Num44z7" w:customStyle="1">
    <w:name w:val="WW8Num44z7"/>
    <w:qFormat/>
    <w:rPr/>
  </w:style>
  <w:style w:type="character" w:styleId="WW8Num44z8" w:customStyle="1">
    <w:name w:val="WW8Num44z8"/>
    <w:qFormat/>
    <w:rPr/>
  </w:style>
  <w:style w:type="character" w:styleId="WW8Num47z2" w:customStyle="1">
    <w:name w:val="WW8Num47z2"/>
    <w:qFormat/>
    <w:rPr/>
  </w:style>
  <w:style w:type="character" w:styleId="WW8Num47z4" w:customStyle="1">
    <w:name w:val="WW8Num47z4"/>
    <w:qFormat/>
    <w:rPr/>
  </w:style>
  <w:style w:type="character" w:styleId="WW8Num47z5" w:customStyle="1">
    <w:name w:val="WW8Num47z5"/>
    <w:qFormat/>
    <w:rPr/>
  </w:style>
  <w:style w:type="character" w:styleId="WW8Num47z6" w:customStyle="1">
    <w:name w:val="WW8Num47z6"/>
    <w:qFormat/>
    <w:rPr/>
  </w:style>
  <w:style w:type="character" w:styleId="WW8Num47z7" w:customStyle="1">
    <w:name w:val="WW8Num47z7"/>
    <w:qFormat/>
    <w:rPr/>
  </w:style>
  <w:style w:type="character" w:styleId="WW8Num47z8" w:customStyle="1">
    <w:name w:val="WW8Num47z8"/>
    <w:qFormat/>
    <w:rPr/>
  </w:style>
  <w:style w:type="character" w:styleId="WW8Num48z3" w:customStyle="1">
    <w:name w:val="WW8Num48z3"/>
    <w:qFormat/>
    <w:rPr/>
  </w:style>
  <w:style w:type="character" w:styleId="WW8Num48z4" w:customStyle="1">
    <w:name w:val="WW8Num48z4"/>
    <w:qFormat/>
    <w:rPr/>
  </w:style>
  <w:style w:type="character" w:styleId="WW8Num48z5" w:customStyle="1">
    <w:name w:val="WW8Num48z5"/>
    <w:qFormat/>
    <w:rPr/>
  </w:style>
  <w:style w:type="character" w:styleId="WW8Num48z6" w:customStyle="1">
    <w:name w:val="WW8Num48z6"/>
    <w:qFormat/>
    <w:rPr/>
  </w:style>
  <w:style w:type="character" w:styleId="WW8Num48z7" w:customStyle="1">
    <w:name w:val="WW8Num48z7"/>
    <w:qFormat/>
    <w:rPr/>
  </w:style>
  <w:style w:type="character" w:styleId="WW8Num48z8" w:customStyle="1">
    <w:name w:val="WW8Num48z8"/>
    <w:qFormat/>
    <w:rPr/>
  </w:style>
  <w:style w:type="character" w:styleId="WW8Num49z2" w:customStyle="1">
    <w:name w:val="WW8Num49z2"/>
    <w:qFormat/>
    <w:rPr/>
  </w:style>
  <w:style w:type="character" w:styleId="WW8Num49z3" w:customStyle="1">
    <w:name w:val="WW8Num49z3"/>
    <w:qFormat/>
    <w:rPr/>
  </w:style>
  <w:style w:type="character" w:styleId="WW8Num49z4" w:customStyle="1">
    <w:name w:val="WW8Num49z4"/>
    <w:qFormat/>
    <w:rPr/>
  </w:style>
  <w:style w:type="character" w:styleId="WW8Num49z5" w:customStyle="1">
    <w:name w:val="WW8Num49z5"/>
    <w:qFormat/>
    <w:rPr/>
  </w:style>
  <w:style w:type="character" w:styleId="WW8Num49z6" w:customStyle="1">
    <w:name w:val="WW8Num49z6"/>
    <w:qFormat/>
    <w:rPr/>
  </w:style>
  <w:style w:type="character" w:styleId="WW8Num49z7" w:customStyle="1">
    <w:name w:val="WW8Num49z7"/>
    <w:qFormat/>
    <w:rPr/>
  </w:style>
  <w:style w:type="character" w:styleId="WW8Num49z8" w:customStyle="1">
    <w:name w:val="WW8Num49z8"/>
    <w:qFormat/>
    <w:rPr/>
  </w:style>
  <w:style w:type="character" w:styleId="WW8Num50z2" w:customStyle="1">
    <w:name w:val="WW8Num50z2"/>
    <w:qFormat/>
    <w:rPr/>
  </w:style>
  <w:style w:type="character" w:styleId="WW8Num50z3" w:customStyle="1">
    <w:name w:val="WW8Num50z3"/>
    <w:qFormat/>
    <w:rPr/>
  </w:style>
  <w:style w:type="character" w:styleId="WW8Num50z4" w:customStyle="1">
    <w:name w:val="WW8Num50z4"/>
    <w:qFormat/>
    <w:rPr/>
  </w:style>
  <w:style w:type="character" w:styleId="WW8Num50z5" w:customStyle="1">
    <w:name w:val="WW8Num50z5"/>
    <w:qFormat/>
    <w:rPr/>
  </w:style>
  <w:style w:type="character" w:styleId="WW8Num50z6" w:customStyle="1">
    <w:name w:val="WW8Num50z6"/>
    <w:qFormat/>
    <w:rPr/>
  </w:style>
  <w:style w:type="character" w:styleId="WW8Num50z7" w:customStyle="1">
    <w:name w:val="WW8Num50z7"/>
    <w:qFormat/>
    <w:rPr/>
  </w:style>
  <w:style w:type="character" w:styleId="WW8Num50z8" w:customStyle="1">
    <w:name w:val="WW8Num50z8"/>
    <w:qFormat/>
    <w:rPr/>
  </w:style>
  <w:style w:type="character" w:styleId="WW8Num51z3" w:customStyle="1">
    <w:name w:val="WW8Num51z3"/>
    <w:qFormat/>
    <w:rPr/>
  </w:style>
  <w:style w:type="character" w:styleId="WW8Num51z4" w:customStyle="1">
    <w:name w:val="WW8Num51z4"/>
    <w:qFormat/>
    <w:rPr/>
  </w:style>
  <w:style w:type="character" w:styleId="WW8Num51z5" w:customStyle="1">
    <w:name w:val="WW8Num51z5"/>
    <w:qFormat/>
    <w:rPr/>
  </w:style>
  <w:style w:type="character" w:styleId="WW8Num51z6" w:customStyle="1">
    <w:name w:val="WW8Num51z6"/>
    <w:qFormat/>
    <w:rPr/>
  </w:style>
  <w:style w:type="character" w:styleId="WW8Num51z7" w:customStyle="1">
    <w:name w:val="WW8Num51z7"/>
    <w:qFormat/>
    <w:rPr/>
  </w:style>
  <w:style w:type="character" w:styleId="WW8Num51z8" w:customStyle="1">
    <w:name w:val="WW8Num51z8"/>
    <w:qFormat/>
    <w:rPr/>
  </w:style>
  <w:style w:type="character" w:styleId="WW8Num58z2" w:customStyle="1">
    <w:name w:val="WW8Num58z2"/>
    <w:qFormat/>
    <w:rPr/>
  </w:style>
  <w:style w:type="character" w:styleId="WW8Num58z3" w:customStyle="1">
    <w:name w:val="WW8Num58z3"/>
    <w:qFormat/>
    <w:rPr/>
  </w:style>
  <w:style w:type="character" w:styleId="WW8Num58z4" w:customStyle="1">
    <w:name w:val="WW8Num58z4"/>
    <w:qFormat/>
    <w:rPr/>
  </w:style>
  <w:style w:type="character" w:styleId="WW8Num58z5" w:customStyle="1">
    <w:name w:val="WW8Num58z5"/>
    <w:qFormat/>
    <w:rPr/>
  </w:style>
  <w:style w:type="character" w:styleId="WW8Num58z6" w:customStyle="1">
    <w:name w:val="WW8Num58z6"/>
    <w:qFormat/>
    <w:rPr/>
  </w:style>
  <w:style w:type="character" w:styleId="WW8Num58z7" w:customStyle="1">
    <w:name w:val="WW8Num58z7"/>
    <w:qFormat/>
    <w:rPr/>
  </w:style>
  <w:style w:type="character" w:styleId="WW8Num58z8" w:customStyle="1">
    <w:name w:val="WW8Num58z8"/>
    <w:qFormat/>
    <w:rPr/>
  </w:style>
  <w:style w:type="character" w:styleId="WW8Num60z2" w:customStyle="1">
    <w:name w:val="WW8Num60z2"/>
    <w:qFormat/>
    <w:rPr/>
  </w:style>
  <w:style w:type="character" w:styleId="WW8Num60z3" w:customStyle="1">
    <w:name w:val="WW8Num60z3"/>
    <w:qFormat/>
    <w:rPr/>
  </w:style>
  <w:style w:type="character" w:styleId="WW8Num60z4" w:customStyle="1">
    <w:name w:val="WW8Num60z4"/>
    <w:qFormat/>
    <w:rPr/>
  </w:style>
  <w:style w:type="character" w:styleId="WW8Num60z5" w:customStyle="1">
    <w:name w:val="WW8Num60z5"/>
    <w:qFormat/>
    <w:rPr/>
  </w:style>
  <w:style w:type="character" w:styleId="WW8Num60z6" w:customStyle="1">
    <w:name w:val="WW8Num60z6"/>
    <w:qFormat/>
    <w:rPr/>
  </w:style>
  <w:style w:type="character" w:styleId="WW8Num60z7" w:customStyle="1">
    <w:name w:val="WW8Num60z7"/>
    <w:qFormat/>
    <w:rPr/>
  </w:style>
  <w:style w:type="character" w:styleId="WW8Num60z8" w:customStyle="1">
    <w:name w:val="WW8Num60z8"/>
    <w:qFormat/>
    <w:rPr/>
  </w:style>
  <w:style w:type="character" w:styleId="WW8Num61z3" w:customStyle="1">
    <w:name w:val="WW8Num61z3"/>
    <w:qFormat/>
    <w:rPr/>
  </w:style>
  <w:style w:type="character" w:styleId="WW8Num61z4" w:customStyle="1">
    <w:name w:val="WW8Num61z4"/>
    <w:qFormat/>
    <w:rPr/>
  </w:style>
  <w:style w:type="character" w:styleId="WW8Num61z5" w:customStyle="1">
    <w:name w:val="WW8Num61z5"/>
    <w:qFormat/>
    <w:rPr/>
  </w:style>
  <w:style w:type="character" w:styleId="WW8Num61z6" w:customStyle="1">
    <w:name w:val="WW8Num61z6"/>
    <w:qFormat/>
    <w:rPr/>
  </w:style>
  <w:style w:type="character" w:styleId="WW8Num61z7" w:customStyle="1">
    <w:name w:val="WW8Num61z7"/>
    <w:qFormat/>
    <w:rPr/>
  </w:style>
  <w:style w:type="character" w:styleId="WW8Num61z8" w:customStyle="1">
    <w:name w:val="WW8Num61z8"/>
    <w:qFormat/>
    <w:rPr/>
  </w:style>
  <w:style w:type="character" w:styleId="WW8Num62z3" w:customStyle="1">
    <w:name w:val="WW8Num62z3"/>
    <w:qFormat/>
    <w:rPr/>
  </w:style>
  <w:style w:type="character" w:styleId="WW8Num62z4" w:customStyle="1">
    <w:name w:val="WW8Num62z4"/>
    <w:qFormat/>
    <w:rPr/>
  </w:style>
  <w:style w:type="character" w:styleId="WW8Num62z5" w:customStyle="1">
    <w:name w:val="WW8Num62z5"/>
    <w:qFormat/>
    <w:rPr/>
  </w:style>
  <w:style w:type="character" w:styleId="WW8Num62z6" w:customStyle="1">
    <w:name w:val="WW8Num62z6"/>
    <w:qFormat/>
    <w:rPr/>
  </w:style>
  <w:style w:type="character" w:styleId="WW8Num62z7" w:customStyle="1">
    <w:name w:val="WW8Num62z7"/>
    <w:qFormat/>
    <w:rPr/>
  </w:style>
  <w:style w:type="character" w:styleId="WW8Num62z8" w:customStyle="1">
    <w:name w:val="WW8Num62z8"/>
    <w:qFormat/>
    <w:rPr/>
  </w:style>
  <w:style w:type="character" w:styleId="WW8Num63z1" w:customStyle="1">
    <w:name w:val="WW8Num63z1"/>
    <w:qFormat/>
    <w:rPr>
      <w:rFonts w:ascii="Calibri" w:hAnsi="Calibri" w:cs="Calibri"/>
      <w:b w:val="false"/>
      <w:bCs w:val="false"/>
      <w:spacing w:val="-1"/>
      <w:sz w:val="22"/>
      <w:szCs w:val="22"/>
    </w:rPr>
  </w:style>
  <w:style w:type="character" w:styleId="WW8Num63z2" w:customStyle="1">
    <w:name w:val="WW8Num63z2"/>
    <w:qFormat/>
    <w:rPr/>
  </w:style>
  <w:style w:type="character" w:styleId="WW8Num63z3" w:customStyle="1">
    <w:name w:val="WW8Num63z3"/>
    <w:qFormat/>
    <w:rPr/>
  </w:style>
  <w:style w:type="character" w:styleId="WW8Num63z4" w:customStyle="1">
    <w:name w:val="WW8Num63z4"/>
    <w:qFormat/>
    <w:rPr/>
  </w:style>
  <w:style w:type="character" w:styleId="WW8Num63z5" w:customStyle="1">
    <w:name w:val="WW8Num63z5"/>
    <w:qFormat/>
    <w:rPr/>
  </w:style>
  <w:style w:type="character" w:styleId="WW8Num63z6" w:customStyle="1">
    <w:name w:val="WW8Num63z6"/>
    <w:qFormat/>
    <w:rPr/>
  </w:style>
  <w:style w:type="character" w:styleId="WW8Num63z7" w:customStyle="1">
    <w:name w:val="WW8Num63z7"/>
    <w:qFormat/>
    <w:rPr/>
  </w:style>
  <w:style w:type="character" w:styleId="WW8Num63z8" w:customStyle="1">
    <w:name w:val="WW8Num63z8"/>
    <w:qFormat/>
    <w:rPr/>
  </w:style>
  <w:style w:type="character" w:styleId="WW8Num64z1" w:customStyle="1">
    <w:name w:val="WW8Num64z1"/>
    <w:qFormat/>
    <w:rPr>
      <w:rFonts w:ascii="Courier New" w:hAnsi="Courier New" w:cs="Courier New"/>
    </w:rPr>
  </w:style>
  <w:style w:type="character" w:styleId="WW8Num64z2" w:customStyle="1">
    <w:name w:val="WW8Num64z2"/>
    <w:qFormat/>
    <w:rPr>
      <w:rFonts w:ascii="Wingdings" w:hAnsi="Wingdings" w:cs="Wingdings"/>
    </w:rPr>
  </w:style>
  <w:style w:type="character" w:styleId="WW8Num65z1" w:customStyle="1">
    <w:name w:val="WW8Num65z1"/>
    <w:qFormat/>
    <w:rPr/>
  </w:style>
  <w:style w:type="character" w:styleId="WW8Num65z2" w:customStyle="1">
    <w:name w:val="WW8Num65z2"/>
    <w:qFormat/>
    <w:rPr/>
  </w:style>
  <w:style w:type="character" w:styleId="WW8Num65z3" w:customStyle="1">
    <w:name w:val="WW8Num65z3"/>
    <w:qFormat/>
    <w:rPr/>
  </w:style>
  <w:style w:type="character" w:styleId="WW8Num65z4" w:customStyle="1">
    <w:name w:val="WW8Num65z4"/>
    <w:qFormat/>
    <w:rPr/>
  </w:style>
  <w:style w:type="character" w:styleId="WW8Num65z5" w:customStyle="1">
    <w:name w:val="WW8Num65z5"/>
    <w:qFormat/>
    <w:rPr/>
  </w:style>
  <w:style w:type="character" w:styleId="WW8Num65z6" w:customStyle="1">
    <w:name w:val="WW8Num65z6"/>
    <w:qFormat/>
    <w:rPr/>
  </w:style>
  <w:style w:type="character" w:styleId="WW8Num65z7" w:customStyle="1">
    <w:name w:val="WW8Num65z7"/>
    <w:qFormat/>
    <w:rPr/>
  </w:style>
  <w:style w:type="character" w:styleId="WW8Num65z8" w:customStyle="1">
    <w:name w:val="WW8Num65z8"/>
    <w:qFormat/>
    <w:rPr/>
  </w:style>
  <w:style w:type="character" w:styleId="WW8Num66z3" w:customStyle="1">
    <w:name w:val="WW8Num66z3"/>
    <w:qFormat/>
    <w:rPr/>
  </w:style>
  <w:style w:type="character" w:styleId="WW8Num66z4" w:customStyle="1">
    <w:name w:val="WW8Num66z4"/>
    <w:qFormat/>
    <w:rPr/>
  </w:style>
  <w:style w:type="character" w:styleId="WW8Num66z5" w:customStyle="1">
    <w:name w:val="WW8Num66z5"/>
    <w:qFormat/>
    <w:rPr/>
  </w:style>
  <w:style w:type="character" w:styleId="WW8Num66z6" w:customStyle="1">
    <w:name w:val="WW8Num66z6"/>
    <w:qFormat/>
    <w:rPr/>
  </w:style>
  <w:style w:type="character" w:styleId="WW8Num66z7" w:customStyle="1">
    <w:name w:val="WW8Num66z7"/>
    <w:qFormat/>
    <w:rPr/>
  </w:style>
  <w:style w:type="character" w:styleId="WW8Num66z8" w:customStyle="1">
    <w:name w:val="WW8Num66z8"/>
    <w:qFormat/>
    <w:rPr/>
  </w:style>
  <w:style w:type="character" w:styleId="WW8Num67z1" w:customStyle="1">
    <w:name w:val="WW8Num67z1"/>
    <w:qFormat/>
    <w:rPr>
      <w:rFonts w:ascii="Courier New" w:hAnsi="Courier New" w:cs="Courier New"/>
    </w:rPr>
  </w:style>
  <w:style w:type="character" w:styleId="WW8Num67z2" w:customStyle="1">
    <w:name w:val="WW8Num67z2"/>
    <w:qFormat/>
    <w:rPr>
      <w:rFonts w:ascii="Wingdings" w:hAnsi="Wingdings" w:cs="Wingdings"/>
    </w:rPr>
  </w:style>
  <w:style w:type="character" w:styleId="Carpredefinitoparagrafo1" w:customStyle="1">
    <w:name w:val="Car. predefinito paragrafo1"/>
    <w:qFormat/>
    <w:rPr/>
  </w:style>
  <w:style w:type="character" w:styleId="HeaderChar" w:customStyle="1">
    <w:name w:val="Header Char"/>
    <w:qFormat/>
    <w:rPr>
      <w:lang w:val="it-IT" w:bidi="ar-SA"/>
    </w:rPr>
  </w:style>
  <w:style w:type="character" w:styleId="Linkneltesto" w:customStyle="1">
    <w:name w:val="link_nel_testo"/>
    <w:qFormat/>
    <w:rPr>
      <w:i/>
      <w:iCs/>
    </w:rPr>
  </w:style>
  <w:style w:type="character" w:styleId="Provvnumcomma" w:customStyle="1">
    <w:name w:val="provv_numcomma"/>
    <w:basedOn w:val="Carpredefinitoparagrafo1"/>
    <w:qFormat/>
    <w:rPr/>
  </w:style>
  <w:style w:type="character" w:styleId="Hyperlink">
    <w:name w:val="Hyperlink"/>
    <w:uiPriority w:val="99"/>
    <w:rPr>
      <w:color w:val="0000FF"/>
      <w:u w:val="single"/>
    </w:rPr>
  </w:style>
  <w:style w:type="character" w:styleId="CarattereCarattere4" w:customStyle="1">
    <w:name w:val="Carattere Carattere4"/>
    <w:qFormat/>
    <w:rPr>
      <w:lang w:val="it-IT" w:bidi="ar-SA"/>
    </w:rPr>
  </w:style>
  <w:style w:type="character" w:styleId="WW8Num94z0" w:customStyle="1">
    <w:name w:val="WW8Num94z0"/>
    <w:qFormat/>
    <w:rPr>
      <w:rFonts w:ascii="Arial" w:hAnsi="Arial" w:eastAsia="Arial" w:cs="Arial"/>
      <w:spacing w:val="-1"/>
      <w:w w:val="99"/>
      <w:sz w:val="20"/>
      <w:szCs w:val="20"/>
    </w:rPr>
  </w:style>
  <w:style w:type="character" w:styleId="WW8Num94z3" w:customStyle="1">
    <w:name w:val="WW8Num94z3"/>
    <w:qFormat/>
    <w:rPr/>
  </w:style>
  <w:style w:type="character" w:styleId="WW8Num71z0" w:customStyle="1">
    <w:name w:val="WW8Num71z0"/>
    <w:qFormat/>
    <w:rPr>
      <w:rFonts w:ascii="Arial" w:hAnsi="Arial" w:eastAsia="Arial" w:cs="Arial"/>
      <w:spacing w:val="-1"/>
      <w:w w:val="99"/>
      <w:sz w:val="20"/>
      <w:szCs w:val="20"/>
    </w:rPr>
  </w:style>
  <w:style w:type="character" w:styleId="WW8Num71z1" w:customStyle="1">
    <w:name w:val="WW8Num71z1"/>
    <w:qFormat/>
    <w:rPr/>
  </w:style>
  <w:style w:type="character" w:styleId="WW8Num86z0" w:customStyle="1">
    <w:name w:val="WW8Num86z0"/>
    <w:qFormat/>
    <w:rPr>
      <w:rFonts w:ascii="Arial" w:hAnsi="Arial" w:eastAsia="Arial" w:cs="Arial"/>
      <w:spacing w:val="-1"/>
      <w:w w:val="99"/>
      <w:sz w:val="20"/>
      <w:szCs w:val="20"/>
    </w:rPr>
  </w:style>
  <w:style w:type="character" w:styleId="WW8Num86z1" w:customStyle="1">
    <w:name w:val="WW8Num86z1"/>
    <w:qFormat/>
    <w:rPr/>
  </w:style>
  <w:style w:type="character" w:styleId="WW8Num70z0" w:customStyle="1">
    <w:name w:val="WW8Num70z0"/>
    <w:qFormat/>
    <w:rPr>
      <w:rFonts w:ascii="Symbol" w:hAnsi="Symbol" w:cs="Symbol"/>
      <w:sz w:val="22"/>
      <w:szCs w:val="22"/>
    </w:rPr>
  </w:style>
  <w:style w:type="character" w:styleId="WW8Num126z0" w:customStyle="1">
    <w:name w:val="WW8Num126z0"/>
    <w:qFormat/>
    <w:rPr>
      <w:rFonts w:ascii="Symbol" w:hAnsi="Symbol" w:cs="Symbol"/>
      <w:color w:val="000000"/>
      <w:sz w:val="22"/>
      <w:szCs w:val="22"/>
    </w:rPr>
  </w:style>
  <w:style w:type="character" w:styleId="WW8Num126z1" w:customStyle="1">
    <w:name w:val="WW8Num126z1"/>
    <w:qFormat/>
    <w:rPr>
      <w:rFonts w:ascii="Times New Roman" w:hAnsi="Times New Roman" w:cs="Times New Roman"/>
      <w:color w:val="000000"/>
      <w:sz w:val="22"/>
      <w:szCs w:val="22"/>
    </w:rPr>
  </w:style>
  <w:style w:type="character" w:styleId="WW8Num126z2" w:customStyle="1">
    <w:name w:val="WW8Num126z2"/>
    <w:qFormat/>
    <w:rPr/>
  </w:style>
  <w:style w:type="character" w:styleId="WW8Num126z3" w:customStyle="1">
    <w:name w:val="WW8Num126z3"/>
    <w:qFormat/>
    <w:rPr/>
  </w:style>
  <w:style w:type="character" w:styleId="WW8Num126z4" w:customStyle="1">
    <w:name w:val="WW8Num126z4"/>
    <w:qFormat/>
    <w:rPr/>
  </w:style>
  <w:style w:type="character" w:styleId="WW8Num126z5" w:customStyle="1">
    <w:name w:val="WW8Num126z5"/>
    <w:qFormat/>
    <w:rPr/>
  </w:style>
  <w:style w:type="character" w:styleId="WW8Num126z6" w:customStyle="1">
    <w:name w:val="WW8Num126z6"/>
    <w:qFormat/>
    <w:rPr/>
  </w:style>
  <w:style w:type="character" w:styleId="WW8Num126z7" w:customStyle="1">
    <w:name w:val="WW8Num126z7"/>
    <w:qFormat/>
    <w:rPr/>
  </w:style>
  <w:style w:type="character" w:styleId="WW8Num126z8" w:customStyle="1">
    <w:name w:val="WW8Num126z8"/>
    <w:qFormat/>
    <w:rPr/>
  </w:style>
  <w:style w:type="character" w:styleId="WW8Num104z0" w:customStyle="1">
    <w:name w:val="WW8Num104z0"/>
    <w:qFormat/>
    <w:rPr>
      <w:rFonts w:ascii="Arial Narrow" w:hAnsi="Arial Narrow" w:cs="Arial Narrow"/>
      <w:sz w:val="22"/>
      <w:szCs w:val="22"/>
    </w:rPr>
  </w:style>
  <w:style w:type="character" w:styleId="Caratteridinumerazione" w:customStyle="1">
    <w:name w:val="Caratteri di numerazione"/>
    <w:qFormat/>
    <w:rPr/>
  </w:style>
  <w:style w:type="character" w:styleId="WW8Num106z0" w:customStyle="1">
    <w:name w:val="WW8Num106z0"/>
    <w:qFormat/>
    <w:rPr>
      <w:rFonts w:ascii="Arial Narrow" w:hAnsi="Arial Narrow" w:cs="Arial Narrow"/>
      <w:sz w:val="22"/>
      <w:szCs w:val="22"/>
    </w:rPr>
  </w:style>
  <w:style w:type="character" w:styleId="WW8Num97z0" w:customStyle="1">
    <w:name w:val="WW8Num97z0"/>
    <w:qFormat/>
    <w:rPr>
      <w:rFonts w:ascii="Arial Narrow" w:hAnsi="Arial Narrow" w:eastAsia="Arial" w:cs="Arial"/>
      <w:sz w:val="22"/>
      <w:szCs w:val="22"/>
    </w:rPr>
  </w:style>
  <w:style w:type="character" w:styleId="WW8Num85z0" w:customStyle="1">
    <w:name w:val="WW8Num85z0"/>
    <w:qFormat/>
    <w:rPr>
      <w:rFonts w:ascii="Arial Narrow" w:hAnsi="Arial Narrow" w:eastAsia="Arial" w:cs="Arial"/>
      <w:sz w:val="22"/>
      <w:szCs w:val="22"/>
    </w:rPr>
  </w:style>
  <w:style w:type="character" w:styleId="WW8Num122z0" w:customStyle="1">
    <w:name w:val="WW8Num122z0"/>
    <w:qFormat/>
    <w:rPr>
      <w:sz w:val="22"/>
    </w:rPr>
  </w:style>
  <w:style w:type="character" w:styleId="WW8Num128z0" w:customStyle="1">
    <w:name w:val="WW8Num128z0"/>
    <w:qFormat/>
    <w:rPr>
      <w:rFonts w:ascii="Arial Narrow" w:hAnsi="Arial Narrow" w:eastAsia="Arial" w:cs="Arial"/>
      <w:sz w:val="22"/>
      <w:szCs w:val="22"/>
    </w:rPr>
  </w:style>
  <w:style w:type="character" w:styleId="Punti" w:customStyle="1">
    <w:name w:val="Punti"/>
    <w:qFormat/>
    <w:rPr>
      <w:rFonts w:ascii="OpenSymbol" w:hAnsi="OpenSymbol" w:eastAsia="OpenSymbol" w:cs="OpenSymbol"/>
    </w:rPr>
  </w:style>
  <w:style w:type="character" w:styleId="WW8Num99z0" w:customStyle="1">
    <w:name w:val="WW8Num99z0"/>
    <w:qFormat/>
    <w:rPr>
      <w:rFonts w:ascii="Arial Narrow" w:hAnsi="Arial Narrow" w:eastAsia="Arial" w:cs="Arial"/>
      <w:sz w:val="22"/>
      <w:szCs w:val="22"/>
    </w:rPr>
  </w:style>
  <w:style w:type="character" w:styleId="WW8Num110z0" w:customStyle="1">
    <w:name w:val="WW8Num110z0"/>
    <w:qFormat/>
    <w:rPr>
      <w:rFonts w:ascii="Arial Narrow" w:hAnsi="Arial Narrow" w:cs="Arial Narrow"/>
      <w:sz w:val="22"/>
      <w:szCs w:val="22"/>
    </w:rPr>
  </w:style>
  <w:style w:type="character" w:styleId="WW8Num89z0" w:customStyle="1">
    <w:name w:val="WW8Num89z0"/>
    <w:qFormat/>
    <w:rPr>
      <w:sz w:val="22"/>
    </w:rPr>
  </w:style>
  <w:style w:type="character" w:styleId="WW8Num83z0" w:customStyle="1">
    <w:name w:val="WW8Num83z0"/>
    <w:qFormat/>
    <w:rPr/>
  </w:style>
  <w:style w:type="character" w:styleId="WW8Num83z1" w:customStyle="1">
    <w:name w:val="WW8Num83z1"/>
    <w:qFormat/>
    <w:rPr/>
  </w:style>
  <w:style w:type="character" w:styleId="WW8Num83z2" w:customStyle="1">
    <w:name w:val="WW8Num83z2"/>
    <w:qFormat/>
    <w:rPr/>
  </w:style>
  <w:style w:type="character" w:styleId="WW8Num83z3" w:customStyle="1">
    <w:name w:val="WW8Num83z3"/>
    <w:qFormat/>
    <w:rPr/>
  </w:style>
  <w:style w:type="character" w:styleId="WW8Num83z4" w:customStyle="1">
    <w:name w:val="WW8Num83z4"/>
    <w:qFormat/>
    <w:rPr/>
  </w:style>
  <w:style w:type="character" w:styleId="WW8Num83z5" w:customStyle="1">
    <w:name w:val="WW8Num83z5"/>
    <w:qFormat/>
    <w:rPr/>
  </w:style>
  <w:style w:type="character" w:styleId="WW8Num83z6" w:customStyle="1">
    <w:name w:val="WW8Num83z6"/>
    <w:qFormat/>
    <w:rPr/>
  </w:style>
  <w:style w:type="character" w:styleId="WW8Num83z7" w:customStyle="1">
    <w:name w:val="WW8Num83z7"/>
    <w:qFormat/>
    <w:rPr/>
  </w:style>
  <w:style w:type="character" w:styleId="WW8Num83z8" w:customStyle="1">
    <w:name w:val="WW8Num83z8"/>
    <w:qFormat/>
    <w:rPr/>
  </w:style>
  <w:style w:type="character" w:styleId="Saltoaindice" w:customStyle="1">
    <w:name w:val="Salto a indice"/>
    <w:qFormat/>
    <w:rPr/>
  </w:style>
  <w:style w:type="character" w:styleId="Caratteredinumerazione" w:customStyle="1">
    <w:name w:val="Carattere di numerazione"/>
    <w:qFormat/>
    <w:rPr/>
  </w:style>
  <w:style w:type="character" w:styleId="Strong">
    <w:name w:val="Strong"/>
    <w:qFormat/>
    <w:rPr>
      <w:b/>
      <w:bCs/>
    </w:rPr>
  </w:style>
  <w:style w:type="character" w:styleId="CorpotestoCarattere" w:customStyle="1">
    <w:name w:val="Corpo testo Carattere"/>
    <w:qFormat/>
    <w:rsid w:val="00174874"/>
    <w:rPr>
      <w:rFonts w:ascii="Calibri" w:hAnsi="Calibri" w:cs="Calibri"/>
      <w:sz w:val="22"/>
      <w:szCs w:val="22"/>
      <w:lang w:eastAsia="zh-CN"/>
    </w:rPr>
  </w:style>
  <w:style w:type="paragraph" w:styleId="Titolo">
    <w:name w:val="Titolo"/>
    <w:basedOn w:val="Normal"/>
    <w:next w:val="BodyText"/>
    <w:qFormat/>
    <w:pPr>
      <w:keepNext w:val="true"/>
      <w:spacing w:before="240" w:after="120"/>
    </w:pPr>
    <w:rPr>
      <w:rFonts w:ascii="Liberation Sans" w:hAnsi="Liberation Sans" w:eastAsia="Microsoft YaHei" w:cs="Lucida Sans"/>
      <w:sz w:val="28"/>
      <w:szCs w:val="28"/>
    </w:rPr>
  </w:style>
  <w:style w:type="paragraph" w:styleId="BodyText">
    <w:name w:val="Body Text"/>
    <w:basedOn w:val="Normal"/>
    <w:link w:val="CorpotestoCarattere"/>
    <w:pPr>
      <w:spacing w:before="120" w:after="0"/>
      <w:ind w:hanging="283" w:left="435"/>
    </w:pPr>
    <w:rPr>
      <w:rFonts w:ascii="Calibri" w:hAnsi="Calibri" w:cs="Calibri"/>
      <w:sz w:val="22"/>
      <w:szCs w:val="22"/>
    </w:rPr>
  </w:style>
  <w:style w:type="paragraph" w:styleId="List">
    <w:name w:val="List"/>
    <w:basedOn w:val="BodyText"/>
    <w:pPr/>
    <w:rPr>
      <w:rFonts w:cs="Mangal"/>
    </w:rPr>
  </w:style>
  <w:style w:type="paragraph" w:styleId="Caption">
    <w:name w:val="Caption"/>
    <w:basedOn w:val="Normal"/>
    <w:qFormat/>
    <w:pPr>
      <w:suppressLineNumbers/>
      <w:spacing w:before="120" w:after="120"/>
    </w:pPr>
    <w:rPr>
      <w:rFonts w:cs="Lucida Sans"/>
      <w:i/>
      <w:iCs/>
      <w:sz w:val="24"/>
      <w:szCs w:val="24"/>
    </w:rPr>
  </w:style>
  <w:style w:type="paragraph" w:styleId="Indice" w:customStyle="1">
    <w:name w:val="Indice"/>
    <w:basedOn w:val="Normal"/>
    <w:qFormat/>
    <w:pPr>
      <w:suppressLineNumbers/>
    </w:pPr>
    <w:rPr>
      <w:rFonts w:cs="Mangal"/>
    </w:rPr>
  </w:style>
  <w:style w:type="paragraph" w:styleId="Titolo2" w:customStyle="1">
    <w:name w:val="Titolo2"/>
    <w:basedOn w:val="Titolo1"/>
    <w:next w:val="BodyText"/>
    <w:qFormat/>
    <w:pPr>
      <w:jc w:val="center"/>
    </w:pPr>
    <w:rPr>
      <w:b/>
      <w:bCs/>
      <w:sz w:val="56"/>
      <w:szCs w:val="56"/>
    </w:rPr>
  </w:style>
  <w:style w:type="paragraph" w:styleId="Caption1">
    <w:name w:val="caption1"/>
    <w:basedOn w:val="Normal"/>
    <w:qFormat/>
    <w:pPr>
      <w:suppressLineNumbers/>
      <w:spacing w:before="120" w:after="120"/>
    </w:pPr>
    <w:rPr>
      <w:rFonts w:cs="Mangal"/>
      <w:i/>
      <w:iCs/>
    </w:rPr>
  </w:style>
  <w:style w:type="paragraph" w:styleId="Titolo1" w:customStyle="1">
    <w:name w:val="Titolo1"/>
    <w:basedOn w:val="Normal"/>
    <w:next w:val="BodyText"/>
    <w:qFormat/>
    <w:pPr>
      <w:keepNext w:val="true"/>
      <w:spacing w:before="240" w:after="120"/>
    </w:pPr>
    <w:rPr>
      <w:rFonts w:ascii="Liberation Sans" w:hAnsi="Liberation Sans" w:eastAsia="Microsoft YaHei" w:cs="Mangal"/>
      <w:sz w:val="28"/>
      <w:szCs w:val="28"/>
    </w:rPr>
  </w:style>
  <w:style w:type="paragraph" w:styleId="Titolo11" w:customStyle="1">
    <w:name w:val="Titolo 11"/>
    <w:basedOn w:val="Normal"/>
    <w:qFormat/>
    <w:pPr>
      <w:ind w:hanging="0" w:left="786"/>
    </w:pPr>
    <w:rPr>
      <w:rFonts w:ascii="Calibri" w:hAnsi="Calibri" w:cs="Calibri"/>
      <w:sz w:val="28"/>
      <w:szCs w:val="28"/>
    </w:rPr>
  </w:style>
  <w:style w:type="paragraph" w:styleId="Paragrafoelenco1" w:customStyle="1">
    <w:name w:val="Paragrafo elenco1"/>
    <w:basedOn w:val="Normal"/>
    <w:qFormat/>
    <w:pPr/>
    <w:rPr/>
  </w:style>
  <w:style w:type="paragraph" w:styleId="TableParagraph" w:customStyle="1">
    <w:name w:val="Table Paragraph"/>
    <w:basedOn w:val="Normal"/>
    <w:qFormat/>
    <w:pPr/>
    <w:rPr/>
  </w:style>
  <w:style w:type="paragraph" w:styleId="Corpodeltesto21" w:customStyle="1">
    <w:name w:val="Corpo del testo 21"/>
    <w:basedOn w:val="Normal"/>
    <w:qFormat/>
    <w:pPr>
      <w:spacing w:lineRule="auto" w:line="480" w:before="0" w:after="120"/>
    </w:pPr>
    <w:rPr/>
  </w:style>
  <w:style w:type="paragraph" w:styleId="Intestazioneepidipagina" w:customStyle="1">
    <w:name w:val="Intestazione e piè di pagina"/>
    <w:basedOn w:val="Normal"/>
    <w:qFormat/>
    <w:pPr>
      <w:suppressLineNumbers/>
      <w:tabs>
        <w:tab w:val="clear" w:pos="720"/>
        <w:tab w:val="center" w:pos="4819" w:leader="none"/>
        <w:tab w:val="right" w:pos="9638" w:leader="none"/>
      </w:tabs>
    </w:pPr>
    <w:rPr/>
  </w:style>
  <w:style w:type="paragraph" w:styleId="Header">
    <w:name w:val="Header"/>
    <w:basedOn w:val="Normal"/>
    <w:pPr>
      <w:widowControl/>
      <w:tabs>
        <w:tab w:val="clear" w:pos="720"/>
        <w:tab w:val="center" w:pos="4819" w:leader="none"/>
        <w:tab w:val="right" w:pos="9638" w:leader="none"/>
      </w:tabs>
    </w:pPr>
    <w:rPr>
      <w:sz w:val="20"/>
      <w:szCs w:val="20"/>
    </w:rPr>
  </w:style>
  <w:style w:type="paragraph" w:styleId="Provvr0" w:customStyle="1">
    <w:name w:val="provv_r0"/>
    <w:basedOn w:val="Normal"/>
    <w:qFormat/>
    <w:pPr>
      <w:widowControl/>
      <w:spacing w:before="280" w:after="280"/>
      <w:jc w:val="both"/>
    </w:pPr>
    <w:rPr/>
  </w:style>
  <w:style w:type="paragraph" w:styleId="Articolo" w:customStyle="1">
    <w:name w:val="Articolo"/>
    <w:basedOn w:val="Normal"/>
    <w:qFormat/>
    <w:pPr>
      <w:widowControl/>
      <w:spacing w:before="0" w:after="120"/>
      <w:ind w:hanging="360" w:left="720"/>
      <w:jc w:val="both"/>
    </w:pPr>
    <w:rPr>
      <w:rFonts w:ascii="Calibri" w:hAnsi="Calibri" w:cs="Tahoma"/>
      <w:sz w:val="22"/>
      <w:szCs w:val="22"/>
    </w:rPr>
  </w:style>
  <w:style w:type="paragraph" w:styleId="NormalWeb">
    <w:name w:val="Normal (Web)"/>
    <w:basedOn w:val="Normal"/>
    <w:qFormat/>
    <w:pPr>
      <w:widowControl/>
      <w:spacing w:before="280" w:after="280"/>
    </w:pPr>
    <w:rPr/>
  </w:style>
  <w:style w:type="paragraph" w:styleId="BodyTextIndent">
    <w:name w:val="Body Text Indent"/>
    <w:basedOn w:val="Normal"/>
    <w:pPr>
      <w:spacing w:before="0" w:after="120"/>
      <w:ind w:hanging="0" w:left="283"/>
    </w:pPr>
    <w:rPr/>
  </w:style>
  <w:style w:type="paragraph" w:styleId="EndnoteText">
    <w:name w:val="Endnote Text"/>
    <w:basedOn w:val="Normal"/>
    <w:pPr>
      <w:widowControl/>
    </w:pPr>
    <w:rPr>
      <w:sz w:val="20"/>
      <w:szCs w:val="20"/>
    </w:rPr>
  </w:style>
  <w:style w:type="paragraph" w:styleId="Testonormale1" w:customStyle="1">
    <w:name w:val="Testo normale1"/>
    <w:basedOn w:val="Normal"/>
    <w:qFormat/>
    <w:pPr>
      <w:widowControl/>
    </w:pPr>
    <w:rPr>
      <w:rFonts w:ascii="Courier New" w:hAnsi="Courier New" w:cs="Courier New"/>
      <w:sz w:val="20"/>
      <w:szCs w:val="20"/>
    </w:rPr>
  </w:style>
  <w:style w:type="paragraph" w:styleId="Footer">
    <w:name w:val="Footer"/>
    <w:basedOn w:val="Normal"/>
    <w:pPr>
      <w:tabs>
        <w:tab w:val="clear" w:pos="720"/>
        <w:tab w:val="center" w:pos="4819" w:leader="none"/>
        <w:tab w:val="right" w:pos="9638" w:leader="none"/>
      </w:tabs>
    </w:pPr>
    <w:rPr/>
  </w:style>
  <w:style w:type="paragraph" w:styleId="Contenutotabella" w:customStyle="1">
    <w:name w:val="Contenuto tabella"/>
    <w:basedOn w:val="Normal"/>
    <w:qFormat/>
    <w:pPr>
      <w:suppressLineNumbers/>
    </w:pPr>
    <w:rPr/>
  </w:style>
  <w:style w:type="paragraph" w:styleId="Titolotabella" w:customStyle="1">
    <w:name w:val="Titolo tabella"/>
    <w:basedOn w:val="Contenutotabella"/>
    <w:qFormat/>
    <w:pPr>
      <w:jc w:val="center"/>
    </w:pPr>
    <w:rPr>
      <w:b/>
      <w:bCs/>
    </w:rPr>
  </w:style>
  <w:style w:type="paragraph" w:styleId="Contenutocornice" w:customStyle="1">
    <w:name w:val="Contenuto cornice"/>
    <w:basedOn w:val="Normal"/>
    <w:next w:val="Titolo1"/>
    <w:qFormat/>
    <w:pPr/>
    <w:rPr/>
  </w:style>
  <w:style w:type="paragraph" w:styleId="Testocitato" w:customStyle="1">
    <w:name w:val="Testo citato"/>
    <w:basedOn w:val="Normal"/>
    <w:qFormat/>
    <w:pPr>
      <w:spacing w:before="0" w:after="283"/>
      <w:ind w:hanging="0" w:left="567" w:right="567"/>
    </w:pPr>
    <w:rPr/>
  </w:style>
  <w:style w:type="paragraph" w:styleId="Subtitle">
    <w:name w:val="Subtitle"/>
    <w:basedOn w:val="Titolo1"/>
    <w:next w:val="BodyText"/>
    <w:qFormat/>
    <w:pPr>
      <w:spacing w:before="60" w:after="120"/>
      <w:jc w:val="center"/>
    </w:pPr>
    <w:rPr>
      <w:sz w:val="36"/>
      <w:szCs w:val="36"/>
    </w:rPr>
  </w:style>
  <w:style w:type="paragraph" w:styleId="Title">
    <w:name w:val="Title"/>
    <w:basedOn w:val="Titolo2"/>
    <w:next w:val="BodyText"/>
    <w:qFormat/>
    <w:pPr/>
    <w:rPr/>
  </w:style>
  <w:style w:type="paragraph" w:styleId="TOC2">
    <w:name w:val="TOC 2"/>
    <w:basedOn w:val="Normal"/>
    <w:next w:val="Normal"/>
    <w:pPr>
      <w:suppressAutoHyphens w:val="false"/>
      <w:ind w:hanging="0" w:left="200"/>
    </w:pPr>
    <w:rPr/>
  </w:style>
  <w:style w:type="paragraph" w:styleId="Titoloelenco" w:customStyle="1">
    <w:name w:val="Titolo elenco"/>
    <w:basedOn w:val="Normal"/>
    <w:next w:val="Contenutoelenco"/>
    <w:qFormat/>
    <w:pPr/>
    <w:rPr/>
  </w:style>
  <w:style w:type="paragraph" w:styleId="Contenutoelenco" w:customStyle="1">
    <w:name w:val="Contenuto elenco"/>
    <w:basedOn w:val="Normal"/>
    <w:qFormat/>
    <w:pPr>
      <w:ind w:hanging="0" w:left="567"/>
    </w:pPr>
    <w:rPr/>
  </w:style>
  <w:style w:type="paragraph" w:styleId="ListParagraph">
    <w:name w:val="List Paragraph"/>
    <w:basedOn w:val="Normal"/>
    <w:uiPriority w:val="1"/>
    <w:qFormat/>
    <w:pPr>
      <w:widowControl/>
      <w:suppressAutoHyphens w:val="false"/>
      <w:spacing w:lineRule="auto" w:line="252" w:before="0" w:after="160"/>
      <w:ind w:hanging="0" w:left="720"/>
      <w:contextualSpacing/>
    </w:pPr>
    <w:rPr>
      <w:rFonts w:ascii="Arial" w:hAnsi="Arial" w:eastAsia="Calibri"/>
      <w:sz w:val="21"/>
    </w:rPr>
  </w:style>
  <w:style w:type="paragraph" w:styleId="Indice10" w:customStyle="1">
    <w:name w:val="Indice 10"/>
    <w:basedOn w:val="Indice"/>
    <w:qFormat/>
    <w:pPr>
      <w:tabs>
        <w:tab w:val="clear" w:pos="720"/>
        <w:tab w:val="right" w:pos="7087" w:leader="dot"/>
      </w:tabs>
      <w:ind w:hanging="0" w:left="2551"/>
    </w:pPr>
    <w:rPr/>
  </w:style>
  <w:style w:type="paragraph" w:styleId="TOC9">
    <w:name w:val="TOC 9"/>
    <w:basedOn w:val="Indice"/>
    <w:pPr>
      <w:tabs>
        <w:tab w:val="clear" w:pos="720"/>
        <w:tab w:val="right" w:pos="7370" w:leader="dot"/>
      </w:tabs>
      <w:ind w:hanging="0" w:left="2268"/>
    </w:pPr>
    <w:rPr/>
  </w:style>
  <w:style w:type="paragraph" w:styleId="TOC8">
    <w:name w:val="TOC 8"/>
    <w:basedOn w:val="Indice"/>
    <w:pPr>
      <w:tabs>
        <w:tab w:val="clear" w:pos="720"/>
        <w:tab w:val="right" w:pos="7654" w:leader="dot"/>
      </w:tabs>
      <w:ind w:hanging="0" w:left="1984"/>
    </w:pPr>
    <w:rPr/>
  </w:style>
  <w:style w:type="paragraph" w:styleId="TOC7">
    <w:name w:val="TOC 7"/>
    <w:basedOn w:val="Indice"/>
    <w:pPr>
      <w:tabs>
        <w:tab w:val="clear" w:pos="720"/>
        <w:tab w:val="right" w:pos="7937" w:leader="dot"/>
      </w:tabs>
      <w:ind w:hanging="0" w:left="1701"/>
    </w:pPr>
    <w:rPr/>
  </w:style>
  <w:style w:type="paragraph" w:styleId="TOC6">
    <w:name w:val="TOC 6"/>
    <w:basedOn w:val="Indice"/>
    <w:pPr>
      <w:tabs>
        <w:tab w:val="clear" w:pos="720"/>
        <w:tab w:val="right" w:pos="8221" w:leader="dot"/>
      </w:tabs>
      <w:ind w:hanging="0" w:left="1417"/>
    </w:pPr>
    <w:rPr/>
  </w:style>
  <w:style w:type="paragraph" w:styleId="TOC5">
    <w:name w:val="TOC 5"/>
    <w:basedOn w:val="Indice"/>
    <w:pPr>
      <w:tabs>
        <w:tab w:val="clear" w:pos="720"/>
        <w:tab w:val="right" w:pos="8504" w:leader="dot"/>
      </w:tabs>
      <w:ind w:hanging="0" w:left="1134"/>
    </w:pPr>
    <w:rPr/>
  </w:style>
  <w:style w:type="paragraph" w:styleId="TOC4">
    <w:name w:val="TOC 4"/>
    <w:basedOn w:val="Indice"/>
    <w:pPr>
      <w:tabs>
        <w:tab w:val="clear" w:pos="720"/>
        <w:tab w:val="right" w:pos="8788" w:leader="dot"/>
      </w:tabs>
      <w:ind w:hanging="0" w:left="850"/>
    </w:pPr>
    <w:rPr/>
  </w:style>
  <w:style w:type="paragraph" w:styleId="TOC3">
    <w:name w:val="TOC 3"/>
    <w:basedOn w:val="Indice"/>
    <w:pPr>
      <w:tabs>
        <w:tab w:val="clear" w:pos="720"/>
        <w:tab w:val="right" w:pos="9071" w:leader="dot"/>
      </w:tabs>
      <w:ind w:hanging="0" w:left="567"/>
    </w:pPr>
    <w:rPr/>
  </w:style>
  <w:style w:type="paragraph" w:styleId="TOC1">
    <w:name w:val="TOC 1"/>
    <w:basedOn w:val="Indice"/>
    <w:uiPriority w:val="39"/>
    <w:rsid w:val="00bc6289"/>
    <w:pPr>
      <w:tabs>
        <w:tab w:val="clear" w:pos="720"/>
        <w:tab w:val="right" w:pos="9638" w:leader="dot"/>
      </w:tabs>
    </w:pPr>
    <w:rPr>
      <w:rFonts w:ascii="Segoe UI" w:hAnsi="Segoe UI"/>
      <w:sz w:val="20"/>
    </w:rPr>
  </w:style>
  <w:style w:type="paragraph" w:styleId="Normale">
    <w:name w:val="Normale"/>
    <w:qFormat/>
    <w:pPr>
      <w:widowControl w:val="false"/>
      <w:suppressAutoHyphens w:val="true"/>
      <w:bidi w:val="0"/>
      <w:spacing w:before="0" w:after="0"/>
      <w:jc w:val="left"/>
    </w:pPr>
    <w:rPr>
      <w:rFonts w:ascii="Liberation Serif;Times New Roman" w:hAnsi="Liberation Serif;Times New Roman" w:eastAsia="NSimSun" w:cs="Arial Unicode MS"/>
      <w:color w:val="auto"/>
      <w:kern w:val="0"/>
      <w:sz w:val="24"/>
      <w:szCs w:val="24"/>
      <w:lang w:val="it-IT" w:eastAsia="zh-CN" w:bidi="hi-IN"/>
    </w:rPr>
  </w:style>
  <w:style w:type="numbering" w:styleId="NoList" w:default="1">
    <w:name w:val="No List"/>
    <w:uiPriority w:val="99"/>
    <w:semiHidden/>
    <w:unhideWhenUsed/>
    <w:qFormat/>
  </w:style>
  <w:style w:type="table" w:default="1" w:styleId="Tabellanormale">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2.jpeg"/><Relationship Id="rId5" Type="http://schemas.openxmlformats.org/officeDocument/2006/relationships/footer" Target="footer1.xml"/><Relationship Id="rId6" Type="http://schemas.openxmlformats.org/officeDocument/2006/relationships/footer" Target="footer2.xml"/><Relationship Id="rId7" Type="http://schemas.openxmlformats.org/officeDocument/2006/relationships/footer" Target="footer3.xml"/><Relationship Id="rId8" Type="http://schemas.openxmlformats.org/officeDocument/2006/relationships/footer" Target="footer4.xml"/><Relationship Id="rId9" Type="http://schemas.openxmlformats.org/officeDocument/2006/relationships/footer" Target="footer5.xml"/><Relationship Id="rId10" Type="http://schemas.openxmlformats.org/officeDocument/2006/relationships/numbering" Target="numbering.xml"/><Relationship Id="rId11" Type="http://schemas.openxmlformats.org/officeDocument/2006/relationships/fontTable" Target="fontTable.xml"/><Relationship Id="rId12" Type="http://schemas.openxmlformats.org/officeDocument/2006/relationships/settings" Target="settings.xml"/><Relationship Id="rId13" Type="http://schemas.openxmlformats.org/officeDocument/2006/relationships/theme" Target="theme/theme1.xml"/><Relationship Id="rId14" Type="http://schemas.openxmlformats.org/officeDocument/2006/relationships/customXml" Target="../customXml/item1.xml"/>
</Relationships>
</file>

<file path=word/theme/theme1.xml><?xml version="1.0" encoding="utf-8"?>
<a:theme xmlns:a="http://schemas.openxmlformats.org/drawingml/2006/main" xmlns:r="http://schemas.openxmlformats.org/officeDocument/2006/relationships" name="Tema di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pitchFamily="0" charset="1"/>
        <a:ea typeface=""/>
        <a:cs typeface=""/>
      </a:majorFont>
      <a:minorFont>
        <a:latin typeface="Calibri" panose="020F0502020204030204" pitchFamily="0" charset="1"/>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l="0" t="0" r="0" b="0"/>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l="0" t="0" r="0" b="0"/>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l="0" t="0" r="0" b="0"/>
        </a:gradFill>
      </a:bgFillStyleLst>
    </a:fmtScheme>
  </a:themeElements>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9C86BD5-76BD-4CB1-807E-FA76B4EA83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211</TotalTime>
  <Application>LibreOffice/7.6.3.2$Windows_X86_64 LibreOffice_project/29d686fea9f6705b262d369fede658f824154cc0</Application>
  <AppVersion>15.0000</AppVersion>
  <Pages>29</Pages>
  <Words>9949</Words>
  <Characters>60523</Characters>
  <CharactersWithSpaces>69997</CharactersWithSpaces>
  <Paragraphs>469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2023-10-24T08:04:00Z</dcterms:created>
  <dc:creator>NiLesage</dc:creator>
  <dc:description/>
  <dc:language>it-IT</dc:language>
  <cp:lastModifiedBy/>
  <cp:lastPrinted>2023-10-26T06:30:00Z</cp:lastPrinted>
  <dcterms:modified xsi:type="dcterms:W3CDTF">2023-12-13T12:13:06Z</dcterms:modified>
  <cp:revision>30</cp:revision>
  <dc:subject/>
  <dc:title> </dc:title>
</cp:coreProperties>
</file>

<file path=docProps/custom.xml><?xml version="1.0" encoding="utf-8"?>
<Properties xmlns="http://schemas.openxmlformats.org/officeDocument/2006/custom-properties" xmlns:vt="http://schemas.openxmlformats.org/officeDocument/2006/docPropsVTypes"/>
</file>